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jc w:val="center"/>
        <w:rPr>
          <w:rFonts w:ascii="Segoe UI" w:hAnsi="Segoe UI" w:cs="Segoe UI"/>
          <w:sz w:val="28"/>
          <w:szCs w:val="24"/>
        </w:rPr>
      </w:pPr>
    </w:p>
    <w:p>
      <w:pPr>
        <w:spacing w:after="0" w:line="240" w:lineRule="auto"/>
        <w:rPr>
          <w:rFonts w:ascii="Arial" w:hAnsi="Arial" w:eastAsia="Times New Roman" w:cs="Arial"/>
          <w:color w:val="121212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Segoe UI" w:hAnsi="Segoe UI" w:cs="Segoe UI"/>
          <w:sz w:val="28"/>
          <w:szCs w:val="24"/>
        </w:rPr>
      </w:pPr>
      <w:r>
        <w:rPr>
          <w:rFonts w:ascii="Arial" w:hAnsi="Arial" w:eastAsia="Times New Roman" w:cs="Arial"/>
          <w:color w:val="121212"/>
          <w:sz w:val="21"/>
          <w:szCs w:val="2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2" name="Прямоугольник 1" descr="Что делать при потере документов на недвижимость, объяснили в Росреест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bookmarkStart w:id="0" w:name="_GoBack"/>
      <w:r>
        <w:rPr>
          <w:rFonts w:ascii="Segoe UI" w:hAnsi="Segoe UI" w:cs="Segoe UI"/>
          <w:sz w:val="28"/>
          <w:szCs w:val="24"/>
        </w:rPr>
        <w:t xml:space="preserve">Структура земель Свердловской области</w:t>
      </w:r>
    </w:p>
    <w:p>
      <w:pPr>
        <w:spacing w:after="0" w:line="240" w:lineRule="auto"/>
        <w:jc w:val="center"/>
        <w:rPr>
          <w:rFonts w:ascii="Segoe UI" w:hAnsi="Segoe UI" w:cs="Segoe UI"/>
          <w:sz w:val="28"/>
          <w:szCs w:val="24"/>
        </w:rPr>
      </w:pPr>
    </w:p>
    <w:p>
      <w:pPr>
        <w:spacing w:before="100" w:beforeAutospacing="1" w:after="100" w:afterAutospacing="1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Свердловской области сообщает, что общая площадь Свердловской области составляет 19422,6 тыс.га.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70,5% земель составляют земли лесного фонда, 20,6% - земли сельскохозяйственного назначения, 3,7% - земли населенных пунктов, 2,3% - з</w:t>
      </w:r>
      <w:r>
        <w:rPr>
          <w:rFonts w:ascii="Segoe UI" w:hAnsi="Segoe UI" w:cs="Segoe UI"/>
          <w:sz w:val="24"/>
          <w:szCs w:val="24"/>
        </w:rPr>
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Segoe UI" w:hAnsi="Segoe UI" w:cs="Segoe UI"/>
          <w:sz w:val="24"/>
          <w:szCs w:val="24"/>
        </w:rPr>
        <w:t xml:space="preserve">, 1,5 % - земли запаса. Остальные категории земель составляют менее одного процента.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целях информирования заинтересованных лиц о состоянии и использовании земель </w:t>
      </w:r>
      <w:hyperlink r:id="rId8" w:history="1">
        <w:r>
          <w:rPr>
            <w:rStyle w:val="a3"/>
            <w:rFonts w:ascii="Segoe UI" w:hAnsi="Segoe UI" w:cs="Segoe UI"/>
            <w:sz w:val="24"/>
            <w:szCs w:val="24"/>
          </w:rPr>
          <w:t xml:space="preserve">на официальн</w:t>
        </w:r>
        <w:r>
          <w:rPr>
            <w:rStyle w:val="a3"/>
            <w:rFonts w:ascii="Segoe UI" w:hAnsi="Segoe UI" w:cs="Segoe UI"/>
            <w:sz w:val="24"/>
            <w:szCs w:val="24"/>
          </w:rPr>
          <w:t xml:space="preserve">ом с</w:t>
        </w:r>
        <w:r>
          <w:rPr>
            <w:rStyle w:val="a3"/>
            <w:rFonts w:ascii="Segoe UI" w:hAnsi="Segoe UI" w:cs="Segoe UI"/>
            <w:sz w:val="24"/>
            <w:szCs w:val="24"/>
          </w:rPr>
          <w:t xml:space="preserve">айте Роср</w:t>
        </w:r>
        <w:r>
          <w:rPr>
            <w:rStyle w:val="a3"/>
            <w:rFonts w:ascii="Segoe UI" w:hAnsi="Segoe UI" w:cs="Segoe UI"/>
            <w:sz w:val="24"/>
            <w:szCs w:val="24"/>
          </w:rPr>
          <w:t xml:space="preserve">еестра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размещается Доклад о состоянии и использовании земель Свердловской области.</w:t>
      </w:r>
    </w:p>
    <w:p>
      <w:pPr>
        <w:spacing w:after="100" w:afterAutospacing="1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В Докладе содержатся сведения о распределении земель в Свердловской области по категориям, угодьям, формам собственности и принадлежности Российской Федерации, Свердловской области и муниципальным образованиям, о правовом обеспечении развития земельных отношений в Свердловской области, о землеустройстве, государственном мониторинге земель, о Едином государственном реестре недвижимости, о государственном земельном надзоре и государственной кадастровой оценке земель</w:t>
      </w:r>
      <w:r>
        <w:rPr>
          <w:rFonts w:ascii="Segoe UI" w:hAnsi="Segoe UI" w:cs="Segoe UI"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- пояснила заместитель руководителя Управления Росреестра по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Татьяна Янтюшева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shd w:val="clear" w:color="auto" w:fill="ffffff"/>
        <w:spacing w:after="200"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Материалы Доклада могут быть использованы для выработки государственной политики и стратегического планирования в сфере земельных отношений в Свердловской области, а также разработки программ по улучшению качества земель в Свердловской области.</w:t>
      </w:r>
    </w:p>
    <w:bookmarkEnd w:id="0"/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375 40 81 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9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10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9e1425b4d3--label-wrapper--lpnin" w:customStyle="1">
    <w:name w:val="_9e1425b4d3--label-wrapper--lpnin"/>
    <w:basedOn w:val="a0"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9e1425b4d3--searching-query--hfkej" w:customStyle="1">
    <w:name w:val="_9e1425b4d3--searching-query--hfkej"/>
    <w:basedOn w:val="a0"/>
  </w:style>
  <w:style w:type="character" w:styleId="9e1425b4d3--text--afq0p" w:customStyle="1">
    <w:name w:val="_9e1425b4d3--text--afq0p"/>
    <w:basedOn w:val="a0"/>
  </w:style>
  <w:style w:type="character" w:styleId="9e1425b4d3--colorprimary100--mnatk" w:customStyle="1">
    <w:name w:val="_9e1425b4d3--color_primary_100--mnatk"/>
    <w:basedOn w:val="a0"/>
  </w:style>
  <w:style w:type="character" w:styleId="9e1425b4d3--colorblack100--kphhj" w:customStyle="1">
    <w:name w:val="_9e1425b4d3--color_black_100--kphhj"/>
    <w:basedOn w:val="a0"/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renderersparagraphs7ymq" w:customStyle="1">
    <w:name w:val="defaultrenderers_paragraph__s7ymq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link-link-777-12-0-1" w:customStyle="1">
    <w:name w:val="link-link-777-12-0-1"/>
    <w:basedOn w:val="a0"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y9oe" w:customStyle="1">
    <w:name w:val="y9oe_"/>
    <w:basedOn w:val="a0"/>
  </w:style>
  <w:style w:type="paragraph" w:styleId="offtop-wraptext" w:customStyle="1">
    <w:name w:val="offtop-wrap__tex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styleId="ac" w:customStyle="1">
    <w:name w:val="Тема примечания Знак"/>
    <w:basedOn w:val="aa"/>
    <w:link w:val="ab"/>
    <w:uiPriority w:val="99"/>
    <w:semiHidden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https://rosreestr.gov.ru/upload/to/sverdlovskaya-oblast/&#1056;&#1072;&#1079;&#1076;&#1077;&#1083;%206.%20&#1057;&#1090;&#1072;&#1090;&#1080;&#1089;&#1090;&#1080;&#1082;&#1072;%20&#1080;%20&#1072;&#1085;&#1072;&#1083;&#1080;&#1090;&#1080;&#1082;&#1072;/&#1079;&#1077;&#1084;&#1083;&#1077;&#1091;&#1089;&#1090;&#1088;&#1086;&#1081;&#1089;&#1090;&#1074;&#1086;%20&#1080;%20&#1084;&#1086;&#1085;&#1080;&#1090;&#1086;&#1088;&#1080;&#1085;&#1075;%20&#1079;&#1077;&#1084;&#1077;&#1083;&#1100;/&#1056;&#1077;&#1075;&#1080;&#1086;&#1085;&#1072;&#1083;&#1100;&#1085;&#1099;&#1081;%20&#1076;&#1086;&#1082;&#1083;&#1072;&#1076;%20&#1079;&#1072;%202024%20&#1075;&#1086;&#1076;%20&#1057;&#1074;&#1077;&#1088;&#1076;&#1083;&#1086;&#1074;&#1089;&#1082;&#1072;&#1103;%20&#1086;&#1073;&#1083;&#1072;&#1089;&#1090;&#1100;.pdf" TargetMode="External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1800</Characters>
  <CharactersWithSpaces>2111</CharactersWithSpaces>
  <Company>SPecialiST RePack</Company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20</TotalTime>
  <Words>315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Анатольевна</dc:creator>
  <cp:lastModifiedBy>Малышева Евгения Анатольевна</cp:lastModifiedBy>
  <cp:revision>9</cp:revision>
  <cp:lastPrinted>2025-06-17T12:16:00Z</cp:lastPrinted>
  <dcterms:created xsi:type="dcterms:W3CDTF">2025-06-17T11:35:00Z</dcterms:created>
  <dcterms:modified xsi:type="dcterms:W3CDTF">2025-07-10T04:38:00Z</dcterms:modified>
</cp:coreProperties>
</file>