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D9" w:rsidRDefault="004F25D9" w:rsidP="004F25D9">
      <w:pPr>
        <w:pStyle w:val="a3"/>
        <w:rPr>
          <w:color w:val="000000"/>
          <w:sz w:val="27"/>
          <w:szCs w:val="27"/>
        </w:rPr>
      </w:pP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 w:rsidRPr="004F25D9">
        <w:rPr>
          <w:b/>
          <w:color w:val="000000"/>
          <w:sz w:val="27"/>
          <w:szCs w:val="27"/>
        </w:rPr>
        <w:t>Об изменениях в порядке ценообразования в сфере обращения с твёрдыми коммунальными отходами</w:t>
      </w:r>
      <w:r>
        <w:rPr>
          <w:color w:val="000000"/>
          <w:sz w:val="27"/>
          <w:szCs w:val="27"/>
        </w:rPr>
        <w:t>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апреля 2019 г. Правительством Российской Федерации принято постановление № 446, направленное на снижение платы граждан за вывоз твёрдых коммунальных отходов (ТКО). Данный нормативный акт актуален и востребован, особенно в тех регионах, где существенную часть платы составляют расходы на их транспортирование, обеспечение </w:t>
      </w:r>
      <w:proofErr w:type="gramStart"/>
      <w:r>
        <w:rPr>
          <w:color w:val="000000"/>
          <w:sz w:val="27"/>
          <w:szCs w:val="27"/>
        </w:rPr>
        <w:t>возможности пересмотра долгосрочных параметров регулирования тарифов</w:t>
      </w:r>
      <w:proofErr w:type="gramEnd"/>
      <w:r>
        <w:rPr>
          <w:color w:val="000000"/>
          <w:sz w:val="27"/>
          <w:szCs w:val="27"/>
        </w:rPr>
        <w:t xml:space="preserve"> в сфере обращения с ТКО в случае соответствующего предписания контролирующих органов.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Напомню, возможность использования объектов размещения ТКО, которые не соответствуют требованиям законодательства и не могут быть </w:t>
      </w:r>
      <w:proofErr w:type="gramStart"/>
      <w:r>
        <w:rPr>
          <w:color w:val="000000"/>
          <w:sz w:val="27"/>
          <w:szCs w:val="27"/>
        </w:rPr>
        <w:t>включены в государственный реестр объектов размещения отходов предусмотрена</w:t>
      </w:r>
      <w:proofErr w:type="gramEnd"/>
      <w:r>
        <w:rPr>
          <w:color w:val="000000"/>
          <w:sz w:val="27"/>
          <w:szCs w:val="27"/>
        </w:rPr>
        <w:t xml:space="preserve"> Федеральным законом от 25.12.2018 № 483-ФЗ. Данные о таких временных объектах размещения ТКО будут внесены в территориальную схему обращения с отходами конкретного субъекта Федерации при условии согласования с Минприроды России и включения их в соответствующий список без внесения их в государственный реестр объектов размещения отходов.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установлено, что в расходы на транспортирование отходов включаются расходы на транспортирование отходов в соответствии с территориальной схемой обращения с отходами, в том числе на временные объекты размещения ТКО.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этого, в целях </w:t>
      </w:r>
      <w:proofErr w:type="gramStart"/>
      <w:r>
        <w:rPr>
          <w:color w:val="000000"/>
          <w:sz w:val="27"/>
          <w:szCs w:val="27"/>
        </w:rPr>
        <w:t>обеспечения возможности пересмотра долгосрочных параметров регулирования тарифов</w:t>
      </w:r>
      <w:proofErr w:type="gramEnd"/>
      <w:r>
        <w:rPr>
          <w:color w:val="000000"/>
          <w:sz w:val="27"/>
          <w:szCs w:val="27"/>
        </w:rPr>
        <w:t xml:space="preserve"> в сфере обращения с ТКО Основы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ценообразования в области обращения с твёрдыми коммунальными отходами и Правила регулирования тарифов в сфере обращения с отходами дополнены новым основанием – выдача соответствующего предписания органами государственного контроля (надзора) в области регулируемых государством тарифов (Правила утверждены постановлением Правительства РФ от 30.05.2016 № 484).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Субъектам Российской Федерации рекомендовано в трёхмесячный срок </w:t>
      </w:r>
      <w:proofErr w:type="gramStart"/>
      <w:r>
        <w:rPr>
          <w:color w:val="000000"/>
          <w:sz w:val="27"/>
          <w:szCs w:val="27"/>
        </w:rPr>
        <w:t>пересмотреть</w:t>
      </w:r>
      <w:proofErr w:type="gramEnd"/>
      <w:r>
        <w:rPr>
          <w:color w:val="000000"/>
          <w:sz w:val="27"/>
          <w:szCs w:val="27"/>
        </w:rPr>
        <w:t xml:space="preserve"> утверждённые тарифы с учётом изменений законодательства.</w:t>
      </w:r>
    </w:p>
    <w:p w:rsidR="004F25D9" w:rsidRDefault="004F25D9" w:rsidP="004F2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4428E7" w:rsidRDefault="004428E7"/>
    <w:sectPr w:rsidR="0044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9"/>
    <w:rsid w:val="004428E7"/>
    <w:rsid w:val="004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2020-07-22T04:09:00Z</dcterms:created>
  <dcterms:modified xsi:type="dcterms:W3CDTF">2020-07-22T04:09:00Z</dcterms:modified>
</cp:coreProperties>
</file>