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firstLine="708"/>
        <w:jc w:val="center"/>
        <w:rPr>
          <w:rFonts w:ascii="Segoe UI" w:hAnsi="Segoe UI" w:cs="Segoe UI" w:eastAsiaTheme="minorEastAsia"/>
          <w:sz w:val="28"/>
          <w:szCs w:val="28"/>
          <w:lang w:eastAsia="sk-SK"/>
        </w:rPr>
      </w:pPr>
      <w:r>
        <w:rPr>
          <w:rFonts w:cs="Times New Roman" w:eastAsiaTheme="minorEastAsia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-304800</wp:posOffset>
                </wp:positionV>
                <wp:extent cx="2692400" cy="981075"/>
                <wp:effectExtent l="0" t="0" r="0" b="0"/>
                <wp:wrapNone/>
                <wp:docPr id="1" name="Рисунок 1" descr="C:\Users\ЗилаловаГП\Downloads\imgonline-com-ua-Resize-AxUH5qc9MGoX5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C:\Users\ЗилаловаГП\Downloads\imgonline-com-ua-Resize-AxUH5qc9MGoX5HD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6924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3.00pt;mso-position-horizontal:absolute;mso-position-vertical-relative:text;margin-top:-24.00pt;mso-position-vertical:absolute;width:212.00pt;height:77.25pt;mso-wrap-distance-left:9.00pt;mso-wrap-distance-top:0.00pt;mso-wrap-distance-right:9.00pt;mso-wrap-distance-bottom:0.00pt;" stroked="f">
                <v:path textboxrect="0,0,0,0"/>
                <v:imagedata r:id="rId8" o:title=""/>
              </v:shape>
            </w:pict>
          </mc:Fallback>
        </mc:AlternateContent>
      </w:r>
    </w:p>
    <w:p>
      <w:pPr>
        <w:spacing w:after="0" w:line="240" w:lineRule="auto"/>
        <w:ind w:firstLine="708"/>
        <w:jc w:val="right"/>
        <w:rPr>
          <w:rFonts w:ascii="Segoe UI" w:hAnsi="Segoe UI" w:cs="Segoe UI" w:eastAsiaTheme="minorEastAsia"/>
          <w:sz w:val="28"/>
          <w:szCs w:val="28"/>
          <w:lang w:eastAsia="sk-SK"/>
        </w:rPr>
      </w:pPr>
    </w:p>
    <w:p>
      <w:pPr>
        <w:spacing w:after="0" w:line="240" w:lineRule="auto"/>
        <w:ind w:firstLine="708"/>
        <w:jc w:val="right"/>
        <w:rPr>
          <w:rFonts w:ascii="Segoe UI" w:hAnsi="Segoe UI" w:cs="Segoe UI" w:eastAsiaTheme="minorEastAsia"/>
          <w:b/>
          <w:sz w:val="28"/>
          <w:szCs w:val="28"/>
          <w:lang w:eastAsia="sk-SK"/>
        </w:rPr>
      </w:pPr>
      <w:r>
        <w:rPr>
          <w:rFonts w:ascii="Segoe UI" w:hAnsi="Segoe UI" w:cs="Segoe UI" w:eastAsiaTheme="minorEastAsia"/>
          <w:b/>
          <w:sz w:val="28"/>
          <w:szCs w:val="28"/>
          <w:lang w:eastAsia="sk-SK"/>
        </w:rPr>
        <w:t xml:space="preserve">ПРЕСС-РЕЛИЗ</w:t>
      </w:r>
    </w:p>
    <w:p>
      <w:pPr>
        <w:spacing w:after="0" w:line="240" w:lineRule="auto"/>
        <w:jc w:val="center"/>
        <w:rPr>
          <w:rFonts w:ascii="Segoe UI" w:hAnsi="Segoe UI" w:cs="Segoe UI"/>
          <w:b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Свердловская область в топ-10 в рейтинге </w:t>
      </w:r>
      <w:r>
        <w:rPr>
          <w:rFonts w:ascii="Segoe UI" w:hAnsi="Segoe UI" w:cs="Segoe UI"/>
          <w:b/>
          <w:sz w:val="24"/>
          <w:szCs w:val="24"/>
        </w:rPr>
        <w:t xml:space="preserve">состояния инвестиционного климата региона</w:t>
      </w:r>
    </w:p>
    <w:p>
      <w:pPr>
        <w:spacing w:after="0" w:line="240" w:lineRule="auto"/>
        <w:rPr>
          <w:rFonts w:ascii="Segoe UI" w:hAnsi="Segoe UI" w:cs="Segoe UI"/>
          <w:sz w:val="24"/>
          <w:szCs w:val="24"/>
          <w:highlight w:val="yellow"/>
        </w:rPr>
      </w:pPr>
    </w:p>
    <w:p>
      <w:pPr>
        <w:shd w:val="clear" w:color="auto" w:fill="ffffff"/>
        <w:spacing w:before="225" w:after="0" w:line="240" w:lineRule="auto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Сегодня на </w:t>
      </w:r>
      <w:r>
        <w:rPr>
          <w:rFonts w:ascii="Segoe UI" w:hAnsi="Segoe UI" w:cs="Segoe UI"/>
          <w:sz w:val="24"/>
          <w:szCs w:val="24"/>
        </w:rPr>
        <w:t xml:space="preserve">Петербургском международном экономическом форуме (ПМЭФ)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был представлен </w:t>
      </w:r>
      <w:r>
        <w:rPr>
          <w:rFonts w:ascii="Segoe UI" w:hAnsi="Segoe UI" w:cs="Segoe UI"/>
          <w:sz w:val="24"/>
          <w:szCs w:val="24"/>
        </w:rPr>
        <w:t xml:space="preserve">р</w:t>
      </w:r>
      <w:r>
        <w:rPr>
          <w:rFonts w:ascii="Segoe UI" w:hAnsi="Segoe UI" w:cs="Segoe UI"/>
          <w:sz w:val="24"/>
          <w:szCs w:val="24"/>
        </w:rPr>
        <w:t xml:space="preserve">ейтинг инвестиционной привлекательности регионов. </w:t>
      </w:r>
      <w:r>
        <w:rPr>
          <w:rFonts w:ascii="Segoe UI" w:hAnsi="Segoe UI" w:cs="Segoe UI"/>
          <w:sz w:val="24"/>
          <w:szCs w:val="24"/>
        </w:rPr>
        <w:t xml:space="preserve">Свердловская область заняла </w:t>
      </w:r>
      <w:r>
        <w:rPr>
          <w:rFonts w:ascii="Segoe UI" w:hAnsi="Segoe UI" w:cs="Segoe UI"/>
          <w:sz w:val="24"/>
          <w:szCs w:val="24"/>
        </w:rPr>
        <w:t xml:space="preserve">10 место.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Национальный рейтинг состояния инвестиционного климата оценивает усилия региональных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властей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по созданию благоприятных условий ведения бизнеса. </w:t>
      </w:r>
      <w:r>
        <w:rPr>
          <w:rFonts w:ascii="Segoe UI" w:hAnsi="Segoe UI" w:cs="Segoe UI"/>
          <w:sz w:val="24"/>
          <w:szCs w:val="24"/>
        </w:rPr>
        <w:t xml:space="preserve">Управление Росреестра участвует </w:t>
      </w:r>
      <w:r>
        <w:rPr>
          <w:rFonts w:ascii="Segoe UI" w:hAnsi="Segoe UI" w:cs="Segoe UI"/>
          <w:sz w:val="24"/>
          <w:szCs w:val="24"/>
        </w:rPr>
        <w:t xml:space="preserve">в направлени</w:t>
      </w:r>
      <w:r>
        <w:rPr>
          <w:rFonts w:ascii="Segoe UI" w:hAnsi="Segoe UI" w:cs="Segoe UI"/>
          <w:sz w:val="24"/>
          <w:szCs w:val="24"/>
        </w:rPr>
        <w:t xml:space="preserve">и</w:t>
      </w:r>
      <w:r>
        <w:rPr>
          <w:rFonts w:ascii="Segoe UI" w:hAnsi="Segoe UI" w:cs="Segoe UI"/>
          <w:sz w:val="24"/>
          <w:szCs w:val="24"/>
        </w:rPr>
        <w:t xml:space="preserve"> «</w:t>
      </w:r>
      <w:r>
        <w:rPr>
          <w:rFonts w:ascii="Segoe UI" w:hAnsi="Segoe UI" w:cs="Segoe UI"/>
          <w:sz w:val="24"/>
          <w:szCs w:val="24"/>
        </w:rPr>
        <w:t xml:space="preserve">Недвижимость</w:t>
      </w:r>
      <w:r>
        <w:rPr>
          <w:rFonts w:ascii="Segoe UI" w:hAnsi="Segoe UI" w:cs="Segoe UI"/>
          <w:sz w:val="24"/>
          <w:szCs w:val="24"/>
        </w:rPr>
        <w:t xml:space="preserve">».</w:t>
      </w:r>
    </w:p>
    <w:p>
      <w:pPr>
        <w:pStyle w:val="afa"/>
        <w:shd w:val="clear" w:color="auto" w:fill="ffffff"/>
        <w:spacing w:before="0" w:beforeAutospacing="0" w:after="150" w:afterAutospacing="0"/>
        <w:ind w:firstLine="567"/>
        <w:jc w:val="both"/>
        <w:rPr>
          <w:rFonts w:ascii="Segoe UI" w:hAnsi="Segoe UI" w:cs="Segoe UI" w:eastAsiaTheme="minorHAnsi"/>
          <w:i/>
          <w:lang w:eastAsia="en-US"/>
        </w:rPr>
      </w:pPr>
      <w:r>
        <w:rPr>
          <w:rFonts w:ascii="Segoe UI" w:hAnsi="Segoe UI" w:cs="Segoe UI" w:eastAsiaTheme="minorHAnsi"/>
          <w:lang w:eastAsia="en-US"/>
        </w:rPr>
        <w:t xml:space="preserve">«</w:t>
      </w:r>
      <w:r>
        <w:rPr>
          <w:rFonts w:ascii="Segoe UI" w:hAnsi="Segoe UI" w:cs="Segoe UI" w:eastAsiaTheme="minorHAnsi"/>
          <w:i/>
          <w:lang w:eastAsia="en-US"/>
        </w:rPr>
        <w:t xml:space="preserve">Одной из приоритетных задач</w:t>
      </w:r>
      <w:r>
        <w:rPr>
          <w:rFonts w:ascii="Segoe UI" w:hAnsi="Segoe UI" w:cs="Segoe UI" w:eastAsiaTheme="minorHAnsi"/>
          <w:i/>
          <w:lang w:eastAsia="en-US"/>
        </w:rPr>
        <w:t xml:space="preserve"> </w:t>
      </w:r>
      <w:r>
        <w:rPr>
          <w:rFonts w:ascii="Segoe UI" w:hAnsi="Segoe UI" w:cs="Segoe UI" w:eastAsiaTheme="minorHAnsi"/>
          <w:i/>
          <w:lang w:eastAsia="en-US"/>
        </w:rPr>
        <w:t xml:space="preserve">рейтинга </w:t>
      </w:r>
      <w:r>
        <w:rPr>
          <w:rFonts w:ascii="Segoe UI" w:hAnsi="Segoe UI" w:cs="Segoe UI" w:eastAsiaTheme="minorHAnsi"/>
          <w:i/>
          <w:lang w:eastAsia="en-US"/>
        </w:rPr>
        <w:t xml:space="preserve">является создание благоприятных условий улучшения инвестиционной привлекательности регионов путем построения целостной системы, направленной на улучшение инвестиционного климата, обеспечение притока инвестиций и распространение лучших практик, выработанных в регионах</w:t>
      </w:r>
      <w:r>
        <w:rPr>
          <w:rFonts w:ascii="Segoe UI" w:hAnsi="Segoe UI" w:cs="Segoe UI" w:eastAsiaTheme="minorHAnsi"/>
          <w:lang w:eastAsia="en-US"/>
        </w:rPr>
        <w:t xml:space="preserve">.</w:t>
      </w:r>
      <w:r>
        <w:rPr>
          <w:rFonts w:ascii="Segoe UI" w:hAnsi="Segoe UI" w:cs="Segoe UI" w:eastAsiaTheme="minorHAnsi"/>
          <w:lang w:eastAsia="en-US"/>
        </w:rPr>
        <w:t xml:space="preserve"> </w:t>
      </w:r>
      <w:r>
        <w:rPr>
          <w:rFonts w:ascii="Segoe UI" w:hAnsi="Segoe UI" w:cs="Segoe UI" w:eastAsiaTheme="minorHAnsi"/>
          <w:i/>
          <w:lang w:eastAsia="en-US"/>
        </w:rPr>
        <w:t xml:space="preserve">Управлением максимально оптимизированы внутренние процессы для повышения эффективности процедур по регистрации прав и кадастровому учету (осуществляется контроль за сроками, в режиме онлайн осуществляется консультирование крупных правообладателей по вопросам учетно</w:t>
      </w:r>
      <w:r>
        <w:rPr>
          <w:rFonts w:ascii="Segoe UI" w:hAnsi="Segoe UI" w:cs="Segoe UI" w:eastAsiaTheme="minorHAnsi"/>
          <w:i/>
          <w:lang w:eastAsia="en-US"/>
        </w:rPr>
        <w:t xml:space="preserve">-</w:t>
      </w:r>
      <w:r>
        <w:rPr>
          <w:rFonts w:ascii="Segoe UI" w:hAnsi="Segoe UI" w:cs="Segoe UI" w:eastAsiaTheme="minorHAnsi"/>
          <w:i/>
          <w:lang w:eastAsia="en-US"/>
        </w:rPr>
        <w:t xml:space="preserve">регистрационных действий, что позволило минимизиров</w:t>
      </w:r>
      <w:r>
        <w:rPr>
          <w:rFonts w:ascii="Segoe UI" w:hAnsi="Segoe UI" w:cs="Segoe UI" w:eastAsiaTheme="minorHAnsi"/>
          <w:i/>
          <w:lang w:eastAsia="en-US"/>
        </w:rPr>
        <w:t xml:space="preserve">ать количество приостановлений)» </w:t>
      </w:r>
      <w:r>
        <w:rPr>
          <w:rFonts w:ascii="Segoe UI" w:hAnsi="Segoe UI" w:cs="Segoe UI" w:eastAsiaTheme="minorHAnsi"/>
          <w:i/>
          <w:lang w:eastAsia="en-US"/>
        </w:rPr>
        <w:t xml:space="preserve">- </w:t>
      </w:r>
      <w:r>
        <w:rPr>
          <w:rFonts w:ascii="Segoe UI" w:hAnsi="Segoe UI" w:cs="Segoe UI" w:eastAsiaTheme="minorHAnsi"/>
          <w:lang w:eastAsia="en-US"/>
        </w:rPr>
        <w:t xml:space="preserve">сообщил руководитель Управления Росреестра по Свердловской области </w:t>
      </w:r>
      <w:r>
        <w:rPr>
          <w:rFonts w:ascii="Segoe UI" w:hAnsi="Segoe UI" w:cs="Segoe UI" w:eastAsiaTheme="minorHAnsi"/>
          <w:b/>
          <w:lang w:eastAsia="en-US"/>
        </w:rPr>
        <w:t xml:space="preserve">Игорь Цыганаш</w:t>
      </w:r>
      <w:r>
        <w:rPr>
          <w:rFonts w:ascii="Segoe UI" w:hAnsi="Segoe UI" w:cs="Segoe UI" w:eastAsiaTheme="minorHAnsi"/>
          <w:i/>
          <w:lang w:eastAsia="en-US"/>
        </w:rPr>
        <w:t xml:space="preserve">.</w:t>
      </w:r>
    </w:p>
    <w:p>
      <w:pPr>
        <w:pStyle w:val="afa"/>
        <w:shd w:val="clear" w:color="auto" w:fill="ffffff"/>
        <w:spacing w:before="0" w:beforeAutospacing="0" w:after="150" w:afterAutospacing="0"/>
        <w:ind w:firstLine="567"/>
        <w:jc w:val="both"/>
        <w:rPr>
          <w:rFonts w:ascii="Segoe UI" w:hAnsi="Segoe UI" w:cs="Segoe UI" w:eastAsiaTheme="minorHAnsi"/>
          <w:lang w:eastAsia="en-US"/>
        </w:rPr>
      </w:pPr>
      <w:r>
        <w:rPr>
          <w:rFonts w:ascii="Segoe UI" w:hAnsi="Segoe UI" w:cs="Segoe UI" w:eastAsiaTheme="minorHAnsi"/>
          <w:lang w:eastAsia="en-US"/>
        </w:rPr>
        <w:t xml:space="preserve">По показателю «среднее время регистрации прав собственности» Управление Росреестра по Свердловской области вошло в группу </w:t>
      </w:r>
      <w:r>
        <w:rPr>
          <w:rFonts w:ascii="Segoe UI" w:hAnsi="Segoe UI" w:cs="Segoe UI" w:eastAsiaTheme="minorHAnsi"/>
          <w:lang w:eastAsia="en-US"/>
        </w:rPr>
        <w:t xml:space="preserve">В</w:t>
      </w:r>
      <w:r>
        <w:rPr>
          <w:rFonts w:ascii="Segoe UI" w:hAnsi="Segoe UI" w:cs="Segoe UI" w:eastAsiaTheme="minorHAnsi"/>
          <w:lang w:eastAsia="en-US"/>
        </w:rPr>
        <w:t xml:space="preserve"> с показателем </w:t>
      </w:r>
      <w:r>
        <w:rPr>
          <w:rFonts w:ascii="Segoe UI" w:hAnsi="Segoe UI" w:cs="Segoe UI" w:eastAsiaTheme="minorHAnsi"/>
          <w:lang w:eastAsia="en-US"/>
        </w:rPr>
        <w:t xml:space="preserve">4,83</w:t>
      </w:r>
      <w:r>
        <w:rPr>
          <w:rFonts w:ascii="Segoe UI" w:hAnsi="Segoe UI" w:cs="Segoe UI" w:eastAsiaTheme="minorHAnsi"/>
          <w:lang w:eastAsia="en-US"/>
        </w:rPr>
        <w:t xml:space="preserve"> (в прошлом году – группа А, показатель 4,5), показатель «среднее количество процедур при регистрации прав собственности» составил </w:t>
      </w:r>
      <w:r>
        <w:rPr>
          <w:rFonts w:ascii="Segoe UI" w:hAnsi="Segoe UI" w:cs="Segoe UI" w:eastAsiaTheme="minorHAnsi"/>
          <w:lang w:eastAsia="en-US"/>
        </w:rPr>
        <w:t xml:space="preserve">1,6</w:t>
      </w:r>
      <w:r>
        <w:rPr>
          <w:rFonts w:ascii="Segoe UI" w:hAnsi="Segoe UI" w:cs="Segoe UI" w:eastAsiaTheme="minorHAnsi"/>
          <w:lang w:eastAsia="en-US"/>
        </w:rPr>
        <w:t xml:space="preserve">, что соответствует группе </w:t>
      </w:r>
      <w:r>
        <w:rPr>
          <w:rFonts w:ascii="Segoe UI" w:hAnsi="Segoe UI" w:cs="Segoe UI" w:eastAsiaTheme="minorHAnsi"/>
          <w:lang w:eastAsia="en-US"/>
        </w:rPr>
        <w:t xml:space="preserve">А</w:t>
      </w:r>
      <w:r>
        <w:rPr>
          <w:rFonts w:ascii="Segoe UI" w:hAnsi="Segoe UI" w:cs="Segoe UI" w:eastAsiaTheme="minorHAnsi"/>
          <w:lang w:eastAsia="en-US"/>
        </w:rPr>
        <w:t xml:space="preserve"> (в прошлом году – группа В, показатель 2,19), показатель «Оценка деятельности» составил </w:t>
      </w:r>
      <w:r>
        <w:rPr>
          <w:rFonts w:ascii="Segoe UI" w:hAnsi="Segoe UI" w:cs="Segoe UI" w:eastAsiaTheme="minorHAnsi"/>
          <w:lang w:eastAsia="en-US"/>
        </w:rPr>
        <w:t xml:space="preserve">4,82</w:t>
      </w:r>
      <w:r>
        <w:rPr>
          <w:rFonts w:ascii="Segoe UI" w:hAnsi="Segoe UI" w:cs="Segoe UI" w:eastAsiaTheme="minorHAnsi"/>
          <w:lang w:eastAsia="en-US"/>
        </w:rPr>
        <w:t xml:space="preserve">, что соответствует группе </w:t>
      </w:r>
      <w:r>
        <w:rPr>
          <w:rFonts w:ascii="Segoe UI" w:hAnsi="Segoe UI" w:cs="Segoe UI" w:eastAsiaTheme="minorHAnsi"/>
          <w:lang w:eastAsia="en-US"/>
        </w:rPr>
        <w:t xml:space="preserve">В</w:t>
      </w:r>
      <w:r>
        <w:rPr>
          <w:rFonts w:ascii="Segoe UI" w:hAnsi="Segoe UI" w:cs="Segoe UI" w:eastAsiaTheme="minorHAnsi"/>
          <w:lang w:eastAsia="en-US"/>
        </w:rPr>
        <w:t xml:space="preserve"> (в прошлом году – группа В, показатель 4,64).</w:t>
      </w:r>
    </w:p>
    <w:p>
      <w:pPr>
        <w:spacing w:after="0" w:line="240" w:lineRule="auto"/>
        <w:jc w:val="both"/>
        <w:rPr>
          <w:rFonts w:ascii="Segoe UI" w:hAnsi="Segoe UI" w:cs="Segoe UI" w:eastAsiaTheme="minorEastAsia"/>
          <w:sz w:val="24"/>
          <w:szCs w:val="24"/>
          <w:lang w:eastAsia="ru-RU"/>
        </w:rPr>
      </w:pPr>
      <w:r>
        <w:rPr>
          <w:rFonts w:cs="Times New Roman" w:eastAsiaTheme="minorEastAsia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89" distL="114300" distR="114300" simplePos="0" relativeHeight="251661312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116204</wp:posOffset>
                </wp:positionV>
                <wp:extent cx="6000750" cy="0"/>
                <wp:effectExtent l="0" t="0" r="19050" b="19050"/>
                <wp:wrapNone/>
                <wp:docPr id="2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61312;o:allowoverlap:true;o:allowincell:true;mso-position-horizontal-relative:text;margin-left:-7.65pt;mso-position-horizontal:absolute;mso-position-vertical-relative:text;margin-top:9.1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</w:p>
    <w:p>
      <w:pPr>
        <w:shd w:val="clear" w:color="auto" w:fill="ffffff"/>
        <w:spacing w:after="0" w:line="240" w:lineRule="auto"/>
        <w:rPr>
          <w:rFonts w:ascii="Segoe UI" w:hAnsi="Segoe UI" w:cs="Segoe UI" w:eastAsiaTheme="minorEastAsia"/>
          <w:b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b/>
          <w:sz w:val="18"/>
          <w:szCs w:val="18"/>
          <w:lang w:eastAsia="ru-RU"/>
        </w:rPr>
        <w:t xml:space="preserve">Контакты для СМИ</w:t>
      </w:r>
    </w:p>
    <w:p>
      <w:pPr>
        <w:shd w:val="clear" w:color="auto" w:fill="ffffff"/>
        <w:spacing w:after="0" w:line="240" w:lineRule="auto"/>
        <w:rPr>
          <w:rFonts w:ascii="Segoe UI" w:hAnsi="Segoe UI" w:cs="Segoe UI" w:eastAsiaTheme="minorEastAsia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+7 343</w:t>
      </w:r>
      <w:r>
        <w:rPr>
          <w:rFonts w:ascii="Segoe UI" w:hAnsi="Segoe UI" w:cs="Segoe UI" w:eastAsiaTheme="minorEastAsia"/>
          <w:sz w:val="18"/>
          <w:szCs w:val="18"/>
          <w:lang w:val="en-US" w:eastAsia="ru-RU"/>
        </w:rPr>
        <w:t xml:space="preserve"> </w:t>
      </w: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375 40 </w:t>
      </w:r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  <w:t xml:space="preserve">81 </w:t>
      </w: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hyperlink r:id="rId9" w:tooltip="mailto::press66_rosreestr@mail.ru" w:history="1"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press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66_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rosreestr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@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mail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ru</w:t>
        </w:r>
      </w:hyperlink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hyperlink r:id="rId10" w:tooltip="http://www.rosreestr.gov.ru" w:history="1"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www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rosreestr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gov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ru</w:t>
        </w:r>
      </w:hyperlink>
    </w:p>
    <w:p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  <w:t xml:space="preserve">620062, г. Екатеринбург, ул. Генеральская, 6 а.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6" w:customStyle="1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styleId="a8" w:customStyle="1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a" w:customStyle="1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ac" w:customStyle="1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FooterChar" w:customStyle="1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ae" w:customStyle="1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band1Horz">
      <w:tcPr>
        <w:shd w:val="clear" w:color="b3d0eb" w:themeColor="accent1" w:themeTint="75" w:fill="b3d0eb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band1Horz">
      <w:tcPr>
        <w:shd w:val="clear" w:color="a9bee4" w:themeColor="accent5" w:themeTint="75" w:fill="a9be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tcPr>
        <w:shd w:val="clear" w:color="cfdbf0" w:themeColor="accent5" w:themeTint="40" w:fill="cfdb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styleId="af3" w:customStyle="1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styleId="af6" w:customStyle="1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fc" w:customStyle="1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hyperlink" Target="mailto::press66_rosreestr@mail.ru" TargetMode="External"/><Relationship Id="rId10" Type="http://schemas.openxmlformats.org/officeDocument/2006/relationships/hyperlink" Target="http://www.rosreestr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1742</Characters>
  <CharactersWithSpaces>2043</CharactersWithSpaces>
  <Company>SPecialiST RePack</Company>
  <DocSecurity>0</DocSecurity>
  <HyperlinksChanged>false</HyperlinksChanged>
  <Lines>14</Lines>
  <LinksUpToDate>false</LinksUpToDate>
  <Pages>1</Pages>
  <Paragraphs>4</Paragraphs>
  <ScaleCrop>false</ScaleCrop>
  <SharedDoc>false</SharedDoc>
  <Template>Normal</Template>
  <TotalTime>101</TotalTime>
  <Words>305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Малышева Евгения Анатольевна</dc:creator>
  <cp:keywords/>
  <dc:description/>
  <cp:lastModifiedBy>Грибкова Ксения Максимовна</cp:lastModifiedBy>
  <cp:revision>27</cp:revision>
  <cp:lastPrinted>2025-06-20T08:22:00Z</cp:lastPrinted>
  <dcterms:created xsi:type="dcterms:W3CDTF">2024-06-06T06:37:00Z</dcterms:created>
  <dcterms:modified xsi:type="dcterms:W3CDTF">2025-06-20T10:25:00Z</dcterms:modified>
</cp:coreProperties>
</file>