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</w:p>
    <w:p>
      <w:pPr>
        <w:spacing w:after="0" w:line="240" w:lineRule="auto"/>
        <w:ind w:left="5664" w:firstLine="708"/>
        <w:jc w:val="center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</w:p>
    <w:p>
      <w:pPr>
        <w:rPr>
          <w:rFonts w:ascii="Segoe UI" w:hAnsi="Segoe UI" w:eastAsia="Times New Roman" w:cs="Segoe UI"/>
          <w:sz w:val="18"/>
          <w:szCs w:val="18"/>
          <w:lang w:eastAsia="ru-RU"/>
        </w:rPr>
      </w:pPr>
    </w:p>
    <w:p>
      <w:pPr>
        <w:spacing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Росреестр рассказал о критериях отнесения строений к объектам вспомогательного использования</w:t>
      </w:r>
    </w:p>
    <w:p>
      <w:pPr>
        <w:shd w:val="clear" w:color="auto" w:fill="ffffff"/>
        <w:spacing w:before="240" w:line="276" w:lineRule="auto"/>
        <w:ind w:firstLine="567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критериях отнесения строений и сооружений к объектам вспомогательного использования, на онлайн-семинаре 24 октября рассказали специалисты Управления.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1 сентября 2023 года в законодательстве выделены три группы вспомогательных объектов, для которых не требуется разрешение на строительство, но предъявляются особые требования к подготовке технических планов</w:t>
      </w:r>
      <w:r>
        <w:rPr>
          <w:rFonts w:ascii="Segoe UI" w:hAnsi="Segoe UI" w:cs="Segoe UI"/>
          <w:sz w:val="24"/>
          <w:szCs w:val="24"/>
        </w:rPr>
        <w:t xml:space="preserve">:</w:t>
      </w:r>
    </w:p>
    <w:p>
      <w:pPr>
        <w:pStyle w:val="a3"/>
        <w:numPr>
          <w:numId w:val="10"/>
          <w:ilvl w:val="0"/>
        </w:num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Вспомогательные объекты, которые строятся на одном участке с основным объектом, и их строительство предусмотрено проектной документацией на основной объект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pStyle w:val="a3"/>
        <w:spacing w:line="276" w:lineRule="auto"/>
        <w:jc w:val="both"/>
        <w:rPr>
          <w:rFonts w:ascii="Segoe UI" w:hAnsi="Segoe UI" w:cs="Segoe UI"/>
          <w:sz w:val="12"/>
          <w:szCs w:val="12"/>
        </w:rPr>
      </w:pPr>
    </w:p>
    <w:p>
      <w:pPr>
        <w:pStyle w:val="a3"/>
        <w:numPr>
          <w:numId w:val="10"/>
          <w:ilvl w:val="0"/>
        </w:num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Вспомогательные объекты, которые соответствуют в совокупности следующим критериям: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строятся в целях обеспечения эксплуатации основного объекта,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имеют обслуживающее назначение по отношению к нему,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 являются особо опасным, технически сложным и уникальным объектом,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общая площадь составляет не более 1500 кв. метров,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 требуют установления санитарно-защитных зон,</w:t>
      </w:r>
    </w:p>
    <w:p>
      <w:pPr>
        <w:spacing w:line="276" w:lineRule="auto"/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размещаются на земельном участке, на котором расположен основной объект, либо на земельных участках смежных или несмежных с ним (при условии технологической связи с основным объектом).</w:t>
      </w:r>
    </w:p>
    <w:p>
      <w:pPr>
        <w:pStyle w:val="a3"/>
        <w:numPr>
          <w:numId w:val="10"/>
          <w:ilvl w:val="0"/>
        </w:num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Вспомогательные объекты, </w:t>
      </w:r>
      <w:r>
        <w:rPr>
          <w:rFonts w:ascii="Segoe UI" w:hAnsi="Segoe UI" w:cs="Segoe UI"/>
          <w:bCs/>
          <w:sz w:val="24"/>
          <w:szCs w:val="24"/>
        </w:rPr>
        <w:t xml:space="preserve">расположенные на земельном участке, предоставленном для:</w:t>
      </w:r>
    </w:p>
    <w:p>
      <w:pPr>
        <w:spacing w:line="276" w:lineRule="auto"/>
        <w:ind w:left="36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индивидуального жилищного строительства,</w:t>
      </w:r>
    </w:p>
    <w:p>
      <w:pPr>
        <w:spacing w:line="276" w:lineRule="auto"/>
        <w:ind w:left="36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ведения садоводства,</w:t>
      </w:r>
    </w:p>
    <w:p>
      <w:pPr>
        <w:spacing w:line="276" w:lineRule="auto"/>
        <w:ind w:left="36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ведения личного подсобного хозяйства (в границах населенного пункта), </w:t>
      </w:r>
    </w:p>
    <w:p>
      <w:pPr>
        <w:spacing w:line="276" w:lineRule="auto"/>
        <w:ind w:left="36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или блокированной жилой застройки.</w:t>
      </w:r>
    </w:p>
    <w:p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cs="Segoe UI"/>
          <w:bCs/>
          <w:i/>
          <w:iCs/>
          <w:sz w:val="24"/>
          <w:szCs w:val="24"/>
        </w:rPr>
        <w:t xml:space="preserve">Вспомогательный объект может в том числе являться сараем, баней, теплицей, навесом, погребом, колодцем или другой хозяйственной постройкой. Но стоит отметить, что для целей регистрации в ЕГРН объект должен быть капитальным, то есть обладать признаками объекта недвижимого имущества</w:t>
      </w:r>
      <w:r>
        <w:rPr>
          <w:rFonts w:ascii="Segoe UI" w:hAnsi="Segoe UI" w:cs="Segoe UI"/>
          <w:i/>
          <w:iCs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, — </w:t>
      </w:r>
      <w:r>
        <w:rPr>
          <w:rFonts w:ascii="Segoe UI" w:hAnsi="Segoe UI" w:cs="Segoe UI"/>
          <w:sz w:val="24"/>
          <w:szCs w:val="24"/>
        </w:rPr>
        <w:t xml:space="preserve">сообщи</w:t>
      </w:r>
      <w:r>
        <w:rPr>
          <w:rFonts w:ascii="Segoe UI" w:hAnsi="Segoe UI" w:cs="Segoe UI"/>
          <w:sz w:val="24"/>
          <w:szCs w:val="24"/>
        </w:rPr>
        <w:t xml:space="preserve">ла </w:t>
      </w:r>
      <w:r>
        <w:rPr>
          <w:rFonts w:ascii="Segoe UI" w:hAnsi="Segoe UI" w:cs="Segoe UI"/>
          <w:sz w:val="24"/>
          <w:szCs w:val="24"/>
        </w:rPr>
        <w:t xml:space="preserve">заместитель руководителя Управления Росреестра по Свердловской области </w:t>
      </w:r>
      <w:r>
        <w:rPr>
          <w:rFonts w:ascii="Segoe UI" w:hAnsi="Segoe UI" w:cs="Segoe UI"/>
          <w:b/>
          <w:bCs/>
          <w:sz w:val="24"/>
          <w:szCs w:val="24"/>
        </w:rPr>
        <w:t xml:space="preserve">Ирина Семкина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Данные критерии утверждены Постановлением Правительства РФ и будут действовать </w:t>
      </w:r>
      <w:r>
        <w:rPr>
          <w:rFonts w:ascii="Segoe UI" w:hAnsi="Segoe UI" w:cs="Segoe UI"/>
          <w:b/>
          <w:sz w:val="24"/>
          <w:szCs w:val="24"/>
        </w:rPr>
        <w:t xml:space="preserve">до 1 сентября 2028 года.</w:t>
      </w:r>
      <w:r>
        <w:rPr>
          <w:rFonts w:ascii="Segoe UI" w:hAnsi="Segoe UI" w:cs="Segoe UI"/>
          <w:bCs/>
          <w:sz w:val="24"/>
          <w:szCs w:val="24"/>
        </w:rPr>
        <w:t xml:space="preserve"> </w:t>
      </w:r>
    </w:p>
    <w:p>
      <w:pPr>
        <w:shd w:val="clear" w:color="auto" w:fill="ffffff"/>
        <w:spacing w:after="225" w:line="312" w:lineRule="atLeast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b/>
          <w:sz w:val="18"/>
          <w:szCs w:val="18"/>
          <w:lang w:eastAsia="ru-RU"/>
        </w:rPr>
        <w:t xml:space="preserve">Контакты для СМИ: 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 w:eastAsia="ru-RU"/>
        </w:rPr>
        <w:t xml:space="preserve"> 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375 40 81 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10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11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spacing w:after="0"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910F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8100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37E23D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6966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ACE17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EC5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52CD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32A7A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81AD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 w:tplc="95A8C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2AEC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6A0B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456DF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BB20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88C4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D4238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FCEF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BFED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 w:tplc="31DE6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B83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FCC6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4D0AA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926E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95A8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8626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BBC280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E0E5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 w:tplc="307A228C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AE3CC824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B62A0684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632631DC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19ECED0E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DC8A1B5E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28A80AF0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FC804C30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276A83DE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 w:tplc="8A9AB694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F016FFCE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2CC04EF0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D5884C5A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8C18D908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BDA87400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B928AC20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CED08B7A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7044411E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B3A0A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8E87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6E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9B6B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936F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858A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8F6FA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A58F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BD65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 w:tplc="66BCBD4C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B944D356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7561A26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AACA92E8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AEC778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A0C4FB2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09C67484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8CF4DF14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8BBAC4AC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38A0DFFE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C5001D70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C2F0F872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E236E440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123274AE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9C502BBC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488CBB52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C6064D26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3D903EF2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 w:tplc="17ECF6DA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95B83A4E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2FAAFEE4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330CBC4E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8834D4D8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FEFC9B36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04B4D232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4FEED8A8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5386A7A2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9e1425b4d3--label-wrapper--lpnin" w:customStyle="1">
    <w:name w:val="_9e1425b4d3--label-wrapper--lpnin"/>
    <w:basedOn w:val="a0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9e1425b4d3--searching-query--hfkej" w:customStyle="1">
    <w:name w:val="_9e1425b4d3--searching-query--hfkej"/>
    <w:basedOn w:val="a0"/>
  </w:style>
  <w:style w:type="character" w:styleId="9e1425b4d3--text--afq0p" w:customStyle="1">
    <w:name w:val="_9e1425b4d3--text--afq0p"/>
    <w:basedOn w:val="a0"/>
  </w:style>
  <w:style w:type="character" w:styleId="9e1425b4d3--colorprimary100--mnatk" w:customStyle="1">
    <w:name w:val="_9e1425b4d3--color_primary_100--mnatk"/>
    <w:basedOn w:val="a0"/>
  </w:style>
  <w:style w:type="character" w:styleId="9e1425b4d3--colorblack100--kphhj" w:customStyle="1">
    <w:name w:val="_9e1425b4d3--color_black_100--kphhj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renderersparagraphs7ymq" w:customStyle="1">
    <w:name w:val="defaultrenderers_paragraph__s7ymq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link-link-777-12-0-1" w:customStyle="1">
    <w:name w:val="link-link-777-12-0-1"/>
    <w:basedOn w:val="a0"/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y9oe" w:customStyle="1">
    <w:name w:val="y9oe_"/>
    <w:basedOn w:val="a0"/>
  </w:style>
  <w:style w:type="paragraph" w:styleId="offtop-wraptext" w:customStyle="1">
    <w:name w:val="offtop-wrap__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tegory-name" w:customStyle="1">
    <w:name w:val="category-name"/>
    <w:basedOn w:val="a0"/>
  </w:style>
  <w:style w:type="character" w:styleId="published" w:customStyle="1">
    <w:name w:val="published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1952</Characters>
  <CharactersWithSpaces>2290</CharactersWithSpaces>
  <Company>SPecialiST RePack</Company>
  <DocSecurity>0</DocSecurity>
  <HyperlinksChanged>false</HyperlinksChanged>
  <Lines>16</Lines>
  <LinksUpToDate>false</LinksUpToDate>
  <Pages>2</Pages>
  <Paragraphs>4</Paragraphs>
  <ScaleCrop>false</ScaleCrop>
  <SharedDoc>false</SharedDoc>
  <Template>Normal</Template>
  <TotalTime>256</TotalTime>
  <Words>342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lastModifiedBy>Погорельская Анна Константиновна</cp:lastModifiedBy>
  <cp:revision>12</cp:revision>
  <cp:lastPrinted>2025-10-24T04:21:00Z</cp:lastPrinted>
  <dcterms:created xsi:type="dcterms:W3CDTF">2025-10-21T05:51:00Z</dcterms:created>
  <dcterms:modified xsi:type="dcterms:W3CDTF">2025-10-27T05:20:00Z</dcterms:modified>
</cp:coreProperties>
</file>