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Segoe UI" w:hAnsi="Segoe UI" w:cs="Segoe UI"/>
          <w:b/>
          <w:color w:val="000000" w:themeColor="text1"/>
          <w:sz w:val="28"/>
          <w:szCs w:val="24"/>
        </w:rPr>
      </w:pP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В Свердловской области 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зафиксирован рост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 количеств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а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br/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 вторичных сделок</w:t>
      </w:r>
    </w:p>
    <w:p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В Свердловской области за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сентябрь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зарегистрировано 1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0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 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773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прав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на основании договоров купли-продажи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, в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августе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показатель составлял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9 933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>
      <w:pPr>
        <w:ind w:firstLine="709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«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В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сентябре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текущего года количество зарегистрированных прав собственности на жилые помещения в сегменте «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вторично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го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жиль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я» составило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1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0,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8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тысяч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40%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процентов сделок приходится на Екатеринбург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Больше всего договоров купли-продажи зафиксировано в Академическом районе, второе место занимает район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ЖБИ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, третье место –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Верх-Исетский район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»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,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- отмечает руководител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ь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Управления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Игорь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Цыганаш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.</w:t>
      </w:r>
    </w:p>
    <w:p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На втором месте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Нижний Тагил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7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01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третье место у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Первоуральска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346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четвертое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–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у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Каменска-Уральского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343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 пятое –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у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Сысерти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29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6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89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-169093.20pt;mso-wrap-distance-right:9.00pt;mso-wrap-distance-bottom:-169093.20pt;visibility:visible;" filled="f" strokecolor="#0070C0" strokeweight="1.25pt"/>
            </w:pict>
          </mc:Fallback>
        </mc:AlternateConten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7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8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hyperlink" Target="mailto::press66_rosreestr@mail.ru" TargetMode="External"/><Relationship Id="rId8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889</Characters>
  <CharactersWithSpaces>1042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476</TotalTime>
  <Words>155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Погорельская Анна Константиновна</cp:lastModifiedBy>
  <cp:revision>37</cp:revision>
  <cp:lastPrinted>2025-10-07T11:53:00Z</cp:lastPrinted>
  <dcterms:created xsi:type="dcterms:W3CDTF">2024-04-18T10:47:00Z</dcterms:created>
  <dcterms:modified xsi:type="dcterms:W3CDTF">2025-10-14T05:01:00Z</dcterms:modified>
</cp:coreProperties>
</file>