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31" w:rsidRDefault="00DE7C92">
      <w:pPr>
        <w:spacing w:after="0" w:line="240" w:lineRule="auto"/>
        <w:ind w:firstLine="708"/>
        <w:jc w:val="center"/>
        <w:rPr>
          <w:rFonts w:ascii="Segoe UI" w:hAnsi="Segoe UI" w:cs="Segoe UI"/>
          <w:sz w:val="28"/>
          <w:szCs w:val="28"/>
          <w:lang w:eastAsia="sk-SK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-304800</wp:posOffset>
                </wp:positionV>
                <wp:extent cx="2692400" cy="981075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692400" cy="981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3.00pt;mso-position-horizontal:absolute;mso-position-vertical-relative:text;margin-top:-24.00pt;mso-position-vertical:absolute;width:212.00pt;height:77.25pt;mso-wrap-distance-left:9.00pt;mso-wrap-distance-top:0.00pt;mso-wrap-distance-right:9.00pt;mso-wrap-distance-bottom:0.00pt;" stroked="false">
                <v:path textboxrect="0,0,0,0"/>
                <v:imagedata r:id="rId8" o:title=""/>
              </v:shape>
            </w:pict>
          </mc:Fallback>
        </mc:AlternateContent>
      </w:r>
    </w:p>
    <w:p w:rsidR="00DD1931" w:rsidRDefault="00DD1931">
      <w:pPr>
        <w:spacing w:after="0" w:line="240" w:lineRule="auto"/>
        <w:ind w:firstLine="708"/>
        <w:jc w:val="right"/>
        <w:rPr>
          <w:rFonts w:ascii="Segoe UI" w:hAnsi="Segoe UI" w:cs="Segoe UI"/>
          <w:sz w:val="28"/>
          <w:szCs w:val="28"/>
          <w:lang w:eastAsia="sk-SK"/>
        </w:rPr>
      </w:pPr>
    </w:p>
    <w:p w:rsidR="00DD1931" w:rsidRDefault="00DE7C92">
      <w:pPr>
        <w:spacing w:after="0" w:line="240" w:lineRule="auto"/>
        <w:ind w:firstLine="708"/>
        <w:jc w:val="right"/>
        <w:rPr>
          <w:rFonts w:ascii="Segoe UI" w:hAnsi="Segoe UI" w:cs="Segoe UI"/>
          <w:b/>
          <w:sz w:val="28"/>
          <w:szCs w:val="28"/>
          <w:lang w:eastAsia="sk-SK"/>
        </w:rPr>
      </w:pPr>
      <w:r>
        <w:rPr>
          <w:rFonts w:ascii="Segoe UI" w:hAnsi="Segoe UI" w:cs="Segoe UI"/>
          <w:b/>
          <w:sz w:val="28"/>
          <w:szCs w:val="28"/>
          <w:lang w:eastAsia="sk-SK"/>
        </w:rPr>
        <w:t>ИНТЕРВЬЮ</w:t>
      </w:r>
    </w:p>
    <w:p w:rsidR="00DD1931" w:rsidRDefault="00DD1931">
      <w:pPr>
        <w:pStyle w:val="ad"/>
        <w:spacing w:after="240"/>
      </w:pPr>
    </w:p>
    <w:p w:rsidR="00DD1931" w:rsidRDefault="00DE7C92">
      <w:pPr>
        <w:pStyle w:val="ad"/>
        <w:spacing w:after="240"/>
      </w:pPr>
      <w:bookmarkStart w:id="0" w:name="_GoBack"/>
      <w:r>
        <w:t>Как защитить недвижимость от мошенников?</w:t>
      </w:r>
    </w:p>
    <w:bookmarkEnd w:id="0"/>
    <w:p w:rsidR="00DD1931" w:rsidRDefault="00DE7C92">
      <w:pPr>
        <w:keepLines/>
        <w:ind w:firstLine="567"/>
        <w:contextualSpacing/>
        <w:jc w:val="both"/>
        <w:rPr>
          <w:rFonts w:ascii="Segoe UI" w:hAnsi="Segoe UI" w:cs="Segoe UI"/>
          <w:b/>
          <w:bCs/>
          <w:color w:val="2C2D2E"/>
          <w:shd w:val="clear" w:color="auto" w:fill="FFFFFF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связи с участившимися вопросами, связанными с темой защиты недвижимости от мошенников, заместитель руководителя Управления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по Свердловской области </w:t>
      </w:r>
      <w:r>
        <w:rPr>
          <w:rFonts w:ascii="Segoe UI" w:hAnsi="Segoe UI" w:cs="Segoe UI"/>
          <w:b/>
          <w:bCs/>
          <w:color w:val="2C2D2E"/>
          <w:shd w:val="clear" w:color="auto" w:fill="FFFFFF"/>
        </w:rPr>
        <w:t xml:space="preserve">Ирина </w:t>
      </w:r>
      <w:proofErr w:type="spellStart"/>
      <w:r>
        <w:rPr>
          <w:rFonts w:ascii="Segoe UI" w:hAnsi="Segoe UI" w:cs="Segoe UI"/>
          <w:b/>
          <w:bCs/>
          <w:color w:val="2C2D2E"/>
          <w:shd w:val="clear" w:color="auto" w:fill="FFFFFF"/>
        </w:rPr>
        <w:t>Семкина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рассказала в интервью о способах борьбы с аферистами и масштабных мерах по борьбе с мошенничеством, которые предприняты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Росреестром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и успешно реализуются на практике</w:t>
      </w:r>
      <w:r>
        <w:rPr>
          <w:rFonts w:ascii="Segoe UI" w:hAnsi="Segoe UI" w:cs="Segoe UI"/>
          <w:b/>
          <w:bCs/>
          <w:color w:val="2C2D2E"/>
          <w:shd w:val="clear" w:color="auto" w:fill="FFFFFF"/>
        </w:rPr>
        <w:t xml:space="preserve">. </w:t>
      </w:r>
    </w:p>
    <w:p w:rsidR="00DD1931" w:rsidRDefault="00DD1931">
      <w:pPr>
        <w:keepLines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DD1931" w:rsidRDefault="00DE7C92">
      <w:pPr>
        <w:pStyle w:val="a7"/>
        <w:numPr>
          <w:ilvl w:val="0"/>
          <w:numId w:val="6"/>
        </w:numPr>
        <w:ind w:left="0" w:firstLine="0"/>
        <w:jc w:val="both"/>
        <w:rPr>
          <w:rFonts w:ascii="Segoe UI" w:hAnsi="Segoe UI" w:cs="Segoe UI"/>
          <w:b/>
          <w:bCs/>
          <w:i/>
          <w:iCs/>
        </w:rPr>
      </w:pPr>
      <w:r>
        <w:rPr>
          <w:rFonts w:ascii="Times New Roman" w:eastAsia="Times New Roman" w:hAnsi="Times New Roman" w:cs="Times New Roman"/>
          <w:i/>
          <w:sz w:val="25"/>
          <w:szCs w:val="25"/>
        </w:rPr>
        <w:t>Какие виды мошенничества наиболее распространены в сфере недвижимости?</w:t>
      </w:r>
      <w:r>
        <w:rPr>
          <w:rFonts w:ascii="Times New Roman" w:eastAsia="Times New Roman" w:hAnsi="Times New Roman" w:cs="Times New Roman"/>
          <w:i/>
          <w:sz w:val="25"/>
          <w:szCs w:val="25"/>
        </w:rPr>
        <w:br/>
      </w:r>
    </w:p>
    <w:p w:rsidR="00DD1931" w:rsidRDefault="00DE7C92">
      <w:pPr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Наибольшее кол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ичество случаев связано с телефонным мошенничеством и поддельными документами. </w:t>
      </w:r>
    </w:p>
    <w:p w:rsidR="00DD1931" w:rsidRDefault="00DE7C92">
      <w:pPr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Злоумышленники часто звонят владельцам недвижимости, представляясь сотрудниками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или правоохранительными органами, и предлагают помощь в защите от аферистов. При этом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собственнику говорят, что в целях защиты своей недвижимости ему необходимо её оперативно продать и внести средства на специальный защищённый счёт (чтобы не потерять их, т.к. мошенники якобы завладели поддельными документами). Также человека могут уговарив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ать 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>срочно</w:t>
      </w:r>
      <w:proofErr w:type="gramEnd"/>
      <w:r>
        <w:rPr>
          <w:rFonts w:ascii="Times New Roman" w:eastAsia="Times New Roman" w:hAnsi="Times New Roman" w:cs="Times New Roman"/>
          <w:sz w:val="25"/>
          <w:szCs w:val="25"/>
        </w:rPr>
        <w:t xml:space="preserve"> подписать пакет документов (например, чтобы избежать продажи квартиры) или продиктовать свои персональные данные.</w:t>
      </w:r>
    </w:p>
    <w:p w:rsidR="00DD1931" w:rsidRDefault="00DE7C92">
      <w:pPr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Сотрудники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никогда не звонят собственникам с угрозами мошенничества или просьбами сообщить свои персональные данные. Есл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вам вдруг поступил такой звонок и человек представился сотрудником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, следует незамедлительно сообщить об этом в правоохранительные органы. </w:t>
      </w:r>
    </w:p>
    <w:p w:rsidR="00DD1931" w:rsidRDefault="00DE7C92">
      <w:pPr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Также могут использоваться поддельные документы, например, доверенности, документы о праве собственности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 недвижимость и паспорта. Гражданин может купить квартиру у мошенников, предоставивших поддельные документы, и остаться как без недвижимости, так и без денег. </w:t>
      </w:r>
    </w:p>
    <w:p w:rsidR="00DD1931" w:rsidRDefault="00DD1931">
      <w:pPr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5"/>
          <w:szCs w:val="25"/>
        </w:rPr>
      </w:pPr>
    </w:p>
    <w:p w:rsidR="00DD1931" w:rsidRDefault="00DE7C92">
      <w:pPr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sz w:val="25"/>
          <w:szCs w:val="25"/>
        </w:rPr>
        <w:t>2. Какие существуют механизмы защиты от мошенников?</w:t>
      </w:r>
      <w:r>
        <w:rPr>
          <w:rFonts w:ascii="Times New Roman" w:eastAsia="Times New Roman" w:hAnsi="Times New Roman" w:cs="Times New Roman"/>
          <w:i/>
          <w:sz w:val="25"/>
          <w:szCs w:val="25"/>
        </w:rPr>
        <w:br/>
      </w:r>
    </w:p>
    <w:p w:rsidR="00DD1931" w:rsidRDefault="00DE7C92">
      <w:pPr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Самый простой способ защиты — подать заявление о запрете регистрации сделок без вашего личного участия. Это можно сделать через личный кабинет на сайте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, через Портал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или в МФЦ. После того, как заявление будет подано, в Единый государств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енный реестр недвижимости (ЕГРН) будет внесена соответствующая запись. И если в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Росреестр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будут поданы документы без личного </w:t>
      </w:r>
      <w:r>
        <w:rPr>
          <w:rFonts w:ascii="Times New Roman" w:eastAsia="Times New Roman" w:hAnsi="Times New Roman" w:cs="Times New Roman"/>
          <w:sz w:val="25"/>
          <w:szCs w:val="25"/>
        </w:rPr>
        <w:lastRenderedPageBreak/>
        <w:t xml:space="preserve">участия собственника (например, по доверенности), они рассматриваться не будут. Их вернут обратно заявителю. </w:t>
      </w:r>
    </w:p>
    <w:p w:rsidR="00DD1931" w:rsidRDefault="00DE7C92">
      <w:pPr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1 полугодии 2025 го</w:t>
      </w:r>
      <w:r>
        <w:rPr>
          <w:rFonts w:ascii="Times New Roman" w:eastAsia="Times New Roman" w:hAnsi="Times New Roman" w:cs="Times New Roman"/>
          <w:sz w:val="25"/>
          <w:szCs w:val="25"/>
        </w:rPr>
        <w:t>да в Управление поступило 24 647 заявлений о невозможности государственной регистрации без личного участия собственника. Данный показатель увеличился в 3 раза по сравнению с аналогичным периодом прошлого года.</w:t>
      </w:r>
    </w:p>
    <w:p w:rsidR="00DD1931" w:rsidRDefault="00DE7C92">
      <w:pPr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Кроме того, Управление рекомендует вносить в 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ГРН сведения об адресе вашей электронной почты, либо актуализировать его, если почта поменялась. Это можно сделать в личном кабинете на сайте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, на Портале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или в МФЦ. На электронную почту человек будет получать все уведомления о совершающ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ихся сделках и изменениях в отношении его объектов недвижимости. Если вдруг правообладатель получит такое сообщение от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и окажется, что ни он, ни его представители никаких документов не подавали, он сможет оперативно уведомить об этом ведомство,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сделка не состоится. </w:t>
      </w:r>
    </w:p>
    <w:p w:rsidR="00DD1931" w:rsidRDefault="00DE7C92">
      <w:pPr>
        <w:jc w:val="both"/>
        <w:rPr>
          <w:rFonts w:ascii="Times New Roman" w:eastAsia="Times New Roman" w:hAnsi="Times New Roman" w:cs="Times New Roman"/>
          <w:i/>
          <w:sz w:val="25"/>
          <w:szCs w:val="25"/>
        </w:rPr>
      </w:pPr>
      <w:r>
        <w:rPr>
          <w:rFonts w:ascii="Segoe UI" w:hAnsi="Segoe UI" w:cs="Segoe UI"/>
          <w:b/>
          <w:bCs/>
          <w:i/>
          <w:iCs/>
        </w:rPr>
        <w:br/>
      </w:r>
      <w:r>
        <w:rPr>
          <w:rFonts w:ascii="Times New Roman" w:eastAsia="Times New Roman" w:hAnsi="Times New Roman" w:cs="Times New Roman"/>
          <w:i/>
          <w:sz w:val="25"/>
          <w:szCs w:val="25"/>
        </w:rPr>
        <w:t>3. Как можно проверить документы при покупке недвижимости?</w:t>
      </w:r>
    </w:p>
    <w:p w:rsidR="00DD1931" w:rsidRDefault="00DE7C92">
      <w:pPr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первую очередь, покупателям стоит учитывать, что продавать недвижимость может только собственник. Поэтому сначала следует внимательно изучить правоустанавливающие докумен</w:t>
      </w:r>
      <w:r>
        <w:rPr>
          <w:rFonts w:ascii="Times New Roman" w:eastAsia="Times New Roman" w:hAnsi="Times New Roman" w:cs="Times New Roman"/>
          <w:sz w:val="25"/>
          <w:szCs w:val="25"/>
        </w:rPr>
        <w:t>ты. К ним относятся договоры передачи (приватизации), дарения, купли-продажи, участия в долевом строительстве и т.д. То есть документы, на основании которых возникло право собственности у нынешнего владельца или владельцев объекта недвижимости.</w:t>
      </w:r>
    </w:p>
    <w:p w:rsidR="00DD1931" w:rsidRDefault="00DE7C92">
      <w:pPr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Кроме того,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попросите продавца предоставить выписку из ЕГРН об основных характеристиках и зарегистрированных правах на объект недвижимости. Это также поможет убедиться, что продавец квартиры является её законным собственником. Сверьте указанные в выписке фамилию, имя</w:t>
      </w:r>
      <w:r>
        <w:rPr>
          <w:rFonts w:ascii="Times New Roman" w:eastAsia="Times New Roman" w:hAnsi="Times New Roman" w:cs="Times New Roman"/>
          <w:sz w:val="25"/>
          <w:szCs w:val="25"/>
        </w:rPr>
        <w:t>, отчество, паспортные данные с информацией в паспорте, а также в документе, по которому продавец приобрел объект. Обратите внимание, единственный ли он собственник, нет ли зарегистрированных прав на данный объект у несовершеннолетних? В данном случае прод</w:t>
      </w:r>
      <w:r>
        <w:rPr>
          <w:rFonts w:ascii="Times New Roman" w:eastAsia="Times New Roman" w:hAnsi="Times New Roman" w:cs="Times New Roman"/>
          <w:sz w:val="25"/>
          <w:szCs w:val="25"/>
        </w:rPr>
        <w:t>авец должен предоставить разрешение органов опеки и попечительства на продажу.</w:t>
      </w:r>
    </w:p>
    <w:p w:rsidR="00DD1931" w:rsidRDefault="00DE7C92">
      <w:pPr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Стоит насторожиться, если в короткий период времени переходы прав были очень частыми. В такой ситуации потенциальным покупателям желательно убедиться, что все сделки в цепочке соответствуют закону и не нарушают прав всех участников, так как судебное оспари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вание даже одной из них может привести к потере имущества последним собственником. Для этого необходимо заказать выписку о переходе прав               на объект недвижимости. Указанная выписка является общедоступной, поэтому потенциальные покупатели могут </w:t>
      </w:r>
      <w:r>
        <w:rPr>
          <w:rFonts w:ascii="Times New Roman" w:eastAsia="Times New Roman" w:hAnsi="Times New Roman" w:cs="Times New Roman"/>
          <w:sz w:val="25"/>
          <w:szCs w:val="25"/>
        </w:rPr>
        <w:t>самостоятельно убедиться в точности предоставленных продавцом сведений.</w:t>
      </w:r>
    </w:p>
    <w:p w:rsidR="00DD1931" w:rsidRDefault="00DE7C92">
      <w:pPr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Также внимательно относитесь к сделке, если продавец действует по нотариальной доверенности. В этом случае всегда проверяйте доверенность на официальном сайте Федеральной нотариальной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палаты. </w:t>
      </w:r>
    </w:p>
    <w:p w:rsidR="00DD1931" w:rsidRDefault="00DD1931">
      <w:pPr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DD1931" w:rsidRDefault="00DD1931">
      <w:pPr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DD1931" w:rsidRDefault="00DE7C92">
      <w:pPr>
        <w:jc w:val="both"/>
        <w:rPr>
          <w:rFonts w:ascii="Times New Roman" w:eastAsia="Times New Roman" w:hAnsi="Times New Roman" w:cs="Times New Roman"/>
          <w:i/>
          <w:sz w:val="25"/>
          <w:szCs w:val="25"/>
        </w:rPr>
      </w:pPr>
      <w:r>
        <w:rPr>
          <w:rFonts w:ascii="Times New Roman" w:eastAsia="Times New Roman" w:hAnsi="Times New Roman" w:cs="Times New Roman"/>
          <w:i/>
          <w:sz w:val="25"/>
          <w:szCs w:val="25"/>
        </w:rPr>
        <w:t>4. Как можно защитить персональные данные в реестре?</w:t>
      </w:r>
    </w:p>
    <w:p w:rsidR="00DD1931" w:rsidRDefault="00DE7C92">
      <w:pPr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>С 1 марта 2023 вступил в силу Федеральный закон № 266-ФЗ от 14.07.2022, по которому данные правообладателей в выписке из ЕГРН могут быть доступны только при условии, если владелец недвижимости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открыл сведения о своих фамилии, имени, отчестве и дате рождения по специальному заявлению. </w:t>
      </w:r>
      <w:proofErr w:type="gramEnd"/>
    </w:p>
    <w:p w:rsidR="00DD1931" w:rsidRDefault="00DE7C92">
      <w:pPr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Для этого в любой удобной форме, в том числе онлайн, собственник может обратиться в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Росреестр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и внести соответствующую запись в ЕГРН. При отсутствии такой записи </w:t>
      </w:r>
      <w:r>
        <w:rPr>
          <w:rFonts w:ascii="Times New Roman" w:eastAsia="Times New Roman" w:hAnsi="Times New Roman" w:cs="Times New Roman"/>
          <w:sz w:val="25"/>
          <w:szCs w:val="25"/>
        </w:rPr>
        <w:t>персональные данные в выписке из ЕГРН будут отсутствовать, и в сведениях о правообладателе будет указано «физическое лицо».</w:t>
      </w:r>
    </w:p>
    <w:p w:rsidR="00DD1931" w:rsidRDefault="00DE7C92">
      <w:pPr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Проверить дали ли вы согласие на отображение ваших персональных данных в выписке из ЕГРН для третьих лиц можно на Портале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если у вас есть сертификат усиленной квалифицированной электронной подписи (УКЭП) в приложении «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Госключ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»; через личный кабинет на сайте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>; в офисах МФЦ.</w:t>
      </w:r>
    </w:p>
    <w:p w:rsidR="00DD1931" w:rsidRDefault="00DD1931">
      <w:pPr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DD1931" w:rsidRDefault="00DE7C92">
      <w:pPr>
        <w:contextualSpacing/>
        <w:rPr>
          <w:rFonts w:ascii="Times New Roman" w:eastAsia="Times New Roman" w:hAnsi="Times New Roman" w:cs="Times New Roman"/>
          <w:color w:val="FF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sz w:val="25"/>
          <w:szCs w:val="25"/>
        </w:rPr>
        <w:t>5. Какие меры защиты электронных сделок предусмотрены?</w:t>
      </w:r>
      <w:r>
        <w:rPr>
          <w:rFonts w:ascii="Times New Roman" w:eastAsia="Times New Roman" w:hAnsi="Times New Roman" w:cs="Times New Roman"/>
          <w:i/>
          <w:sz w:val="25"/>
          <w:szCs w:val="25"/>
        </w:rPr>
        <w:br/>
      </w:r>
    </w:p>
    <w:p w:rsidR="00DD1931" w:rsidRDefault="00DE7C92">
      <w:pPr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Для электронных сделок используется </w:t>
      </w:r>
      <w:r>
        <w:rPr>
          <w:rFonts w:ascii="Times New Roman" w:eastAsia="Times New Roman" w:hAnsi="Times New Roman" w:cs="Times New Roman"/>
          <w:sz w:val="25"/>
          <w:szCs w:val="25"/>
        </w:rPr>
        <w:t>усиленная квалифицированная электронная подпись (УКЭП). Получить такую подпись можно в аккредитованных удостоверяющих центрах. Также президентом РФ подписан закон, который позволит использовать Единую биометрическую систему для подачи документов на регистр</w:t>
      </w:r>
      <w:r>
        <w:rPr>
          <w:rFonts w:ascii="Times New Roman" w:eastAsia="Times New Roman" w:hAnsi="Times New Roman" w:cs="Times New Roman"/>
          <w:sz w:val="25"/>
          <w:szCs w:val="25"/>
        </w:rPr>
        <w:t>ацию недвижимости в электронном виде. Для защиты электронных сделок существует обязательное письменное согласие собственника на государственную регистрацию перехода права собственности на основании документов, подготовленных в электронном виде.</w:t>
      </w:r>
    </w:p>
    <w:p w:rsidR="00DD1931" w:rsidRDefault="00DD1931">
      <w:pPr>
        <w:contextualSpacing/>
        <w:rPr>
          <w:rFonts w:ascii="Times New Roman" w:eastAsia="Times New Roman" w:hAnsi="Times New Roman" w:cs="Times New Roman"/>
          <w:i/>
          <w:sz w:val="25"/>
          <w:szCs w:val="25"/>
        </w:rPr>
      </w:pPr>
    </w:p>
    <w:p w:rsidR="00DD1931" w:rsidRDefault="00DE7C92">
      <w:pPr>
        <w:contextualSpacing/>
        <w:rPr>
          <w:rFonts w:ascii="Times New Roman" w:eastAsia="Times New Roman" w:hAnsi="Times New Roman" w:cs="Times New Roman"/>
          <w:color w:val="FF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sz w:val="25"/>
          <w:szCs w:val="25"/>
        </w:rPr>
        <w:t>6. Что пос</w:t>
      </w:r>
      <w:r>
        <w:rPr>
          <w:rFonts w:ascii="Times New Roman" w:eastAsia="Times New Roman" w:hAnsi="Times New Roman" w:cs="Times New Roman"/>
          <w:i/>
          <w:sz w:val="25"/>
          <w:szCs w:val="25"/>
        </w:rPr>
        <w:t>оветуете людям старшего возраста, которые могут стать жертвами мошенников?</w:t>
      </w:r>
      <w:r>
        <w:rPr>
          <w:rFonts w:ascii="Times New Roman" w:eastAsia="Times New Roman" w:hAnsi="Times New Roman" w:cs="Times New Roman"/>
          <w:i/>
          <w:sz w:val="25"/>
          <w:szCs w:val="25"/>
        </w:rPr>
        <w:br/>
      </w:r>
    </w:p>
    <w:p w:rsidR="00DD1931" w:rsidRDefault="00DE7C92">
      <w:pPr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Нужно обязательно информировать старшее поколение о возможных рисках. Призвать их не сообщать свои личные данные по телефону и всегда проверять документы, которые они подписывают. </w:t>
      </w:r>
      <w:r>
        <w:rPr>
          <w:rFonts w:ascii="Times New Roman" w:eastAsia="Times New Roman" w:hAnsi="Times New Roman" w:cs="Times New Roman"/>
          <w:sz w:val="25"/>
          <w:szCs w:val="25"/>
        </w:rPr>
        <w:t>Это поможет предотвратить многие мошеннические схемы.</w:t>
      </w:r>
    </w:p>
    <w:p w:rsidR="00DD1931" w:rsidRDefault="00DD1931">
      <w:pPr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DD1931" w:rsidRDefault="00DD1931">
      <w:pPr>
        <w:pStyle w:val="af1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sz w:val="18"/>
          <w:szCs w:val="18"/>
        </w:rPr>
      </w:pPr>
    </w:p>
    <w:p w:rsidR="00DD1931" w:rsidRDefault="00DE7C92">
      <w:pPr>
        <w:pStyle w:val="af1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DD1931" w:rsidRDefault="00DE7C92">
      <w:pPr>
        <w:pStyle w:val="af1"/>
        <w:shd w:val="clear" w:color="auto" w:fill="FFFFFF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Пресс-служба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Свердловской области </w:t>
      </w:r>
    </w:p>
    <w:p w:rsidR="00DD1931" w:rsidRDefault="00DE7C92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+7 343</w:t>
      </w:r>
      <w:r>
        <w:rPr>
          <w:rFonts w:ascii="Segoe UI" w:hAnsi="Segoe UI" w:cs="Segoe UI"/>
          <w:sz w:val="18"/>
          <w:szCs w:val="18"/>
          <w:lang w:val="en-US"/>
        </w:rPr>
        <w:t> </w:t>
      </w:r>
      <w:r>
        <w:rPr>
          <w:rFonts w:ascii="Segoe UI" w:hAnsi="Segoe UI" w:cs="Segoe UI"/>
          <w:sz w:val="18"/>
          <w:szCs w:val="18"/>
        </w:rPr>
        <w:t xml:space="preserve">375 40 </w:t>
      </w:r>
      <w:r>
        <w:rPr>
          <w:rFonts w:ascii="Segoe UI" w:hAnsi="Segoe UI" w:cs="Segoe UI"/>
          <w:color w:val="000000"/>
          <w:sz w:val="18"/>
          <w:szCs w:val="18"/>
        </w:rPr>
        <w:t xml:space="preserve">81 / 620062, г. Екатеринбург, ул. </w:t>
      </w:r>
      <w:proofErr w:type="gramStart"/>
      <w:r>
        <w:rPr>
          <w:rFonts w:ascii="Segoe UI" w:hAnsi="Segoe UI" w:cs="Segoe UI"/>
          <w:color w:val="000000"/>
          <w:sz w:val="18"/>
          <w:szCs w:val="18"/>
        </w:rPr>
        <w:t>Генеральская</w:t>
      </w:r>
      <w:proofErr w:type="gramEnd"/>
      <w:r>
        <w:rPr>
          <w:rFonts w:ascii="Segoe UI" w:hAnsi="Segoe UI" w:cs="Segoe UI"/>
          <w:color w:val="000000"/>
          <w:sz w:val="18"/>
          <w:szCs w:val="18"/>
        </w:rPr>
        <w:t>, 6 а.</w:t>
      </w:r>
    </w:p>
    <w:p w:rsidR="00DD1931" w:rsidRDefault="00DE7C92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9" w:history="1">
        <w:r>
          <w:rPr>
            <w:rStyle w:val="ac"/>
            <w:lang w:val="en-US"/>
          </w:rPr>
          <w:t>press</w:t>
        </w:r>
        <w:r>
          <w:rPr>
            <w:rStyle w:val="ac"/>
          </w:rPr>
          <w:t>66_</w:t>
        </w:r>
        <w:r>
          <w:rPr>
            <w:rStyle w:val="ac"/>
            <w:lang w:val="en-US"/>
          </w:rPr>
          <w:t>rosreestr</w:t>
        </w:r>
        <w:r>
          <w:rPr>
            <w:rStyle w:val="ac"/>
          </w:rPr>
          <w:t>@</w:t>
        </w:r>
        <w:r>
          <w:rPr>
            <w:rStyle w:val="ac"/>
            <w:lang w:val="en-US"/>
          </w:rPr>
          <w:t>mail</w:t>
        </w:r>
        <w:r>
          <w:rPr>
            <w:rStyle w:val="ac"/>
          </w:rPr>
          <w:t>.</w:t>
        </w:r>
        <w:proofErr w:type="spellStart"/>
        <w:r>
          <w:rPr>
            <w:rStyle w:val="ac"/>
            <w:lang w:val="en-US"/>
          </w:rPr>
          <w:t>ru</w:t>
        </w:r>
        <w:proofErr w:type="spellEnd"/>
      </w:hyperlink>
    </w:p>
    <w:p w:rsidR="00DD1931" w:rsidRDefault="00DE7C92">
      <w:pPr>
        <w:keepLines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hyperlink r:id="rId10" w:history="1">
        <w:r>
          <w:rPr>
            <w:rStyle w:val="ac"/>
            <w:lang w:val="en-US"/>
          </w:rPr>
          <w:t>www</w:t>
        </w:r>
        <w:r>
          <w:rPr>
            <w:rStyle w:val="ac"/>
          </w:rPr>
          <w:t>.</w:t>
        </w:r>
        <w:proofErr w:type="spellStart"/>
        <w:r>
          <w:rPr>
            <w:rStyle w:val="ac"/>
            <w:lang w:val="en-US"/>
          </w:rPr>
          <w:t>rosreestr</w:t>
        </w:r>
        <w:proofErr w:type="spellEnd"/>
        <w:r>
          <w:rPr>
            <w:rStyle w:val="ac"/>
          </w:rPr>
          <w:t>.</w:t>
        </w:r>
        <w:proofErr w:type="spellStart"/>
        <w:r>
          <w:rPr>
            <w:rStyle w:val="ac"/>
            <w:lang w:val="en-US"/>
          </w:rPr>
          <w:t>gov</w:t>
        </w:r>
        <w:proofErr w:type="spellEnd"/>
        <w:r>
          <w:rPr>
            <w:rStyle w:val="ac"/>
          </w:rPr>
          <w:t>.</w:t>
        </w:r>
        <w:proofErr w:type="spellStart"/>
        <w:r>
          <w:rPr>
            <w:rStyle w:val="ac"/>
            <w:lang w:val="en-US"/>
          </w:rPr>
          <w:t>ru</w:t>
        </w:r>
        <w:proofErr w:type="spellEnd"/>
      </w:hyperlink>
    </w:p>
    <w:p w:rsidR="00DD1931" w:rsidRDefault="00DD1931">
      <w:pPr>
        <w:rPr>
          <w:rFonts w:ascii="Times New Roman" w:eastAsia="Times New Roman" w:hAnsi="Times New Roman" w:cs="Times New Roman"/>
          <w:sz w:val="25"/>
          <w:szCs w:val="25"/>
        </w:rPr>
      </w:pPr>
    </w:p>
    <w:sectPr w:rsidR="00DD1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2F62"/>
    <w:multiLevelType w:val="hybridMultilevel"/>
    <w:tmpl w:val="129C31EC"/>
    <w:lvl w:ilvl="0" w:tplc="859C3C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EC63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68F4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8D815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93A05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F982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0A456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A9266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D28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61C5C"/>
    <w:multiLevelType w:val="hybridMultilevel"/>
    <w:tmpl w:val="52C26820"/>
    <w:lvl w:ilvl="0" w:tplc="329E28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3FACA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DAAFE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F4410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A44B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4029B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9D285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1569D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D7260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081D86"/>
    <w:multiLevelType w:val="hybridMultilevel"/>
    <w:tmpl w:val="955EA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6D08DE"/>
    <w:multiLevelType w:val="hybridMultilevel"/>
    <w:tmpl w:val="A0C4F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937C25"/>
    <w:multiLevelType w:val="hybridMultilevel"/>
    <w:tmpl w:val="BAB09A78"/>
    <w:lvl w:ilvl="0" w:tplc="C428BDB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0D72D41"/>
    <w:multiLevelType w:val="hybridMultilevel"/>
    <w:tmpl w:val="C93EFA26"/>
    <w:lvl w:ilvl="0" w:tplc="10CCD6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2C7F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E083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05049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EDCF4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46D1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95EE6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B07F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2BA66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31"/>
    <w:rsid w:val="00DD1931"/>
    <w:rsid w:val="00DE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ad">
    <w:name w:val="Заголовок новости"/>
    <w:basedOn w:val="1"/>
    <w:link w:val="ae"/>
    <w:qFormat/>
    <w:pPr>
      <w:spacing w:before="0" w:after="0"/>
      <w:jc w:val="center"/>
    </w:pPr>
    <w:rPr>
      <w:rFonts w:ascii="Segoe UI" w:hAnsi="Segoe UI" w:cs="Segoe UI"/>
      <w:b/>
      <w:bCs/>
      <w:color w:val="000000" w:themeColor="text1"/>
      <w:sz w:val="28"/>
      <w:szCs w:val="28"/>
    </w:rPr>
  </w:style>
  <w:style w:type="character" w:customStyle="1" w:styleId="ae">
    <w:name w:val="Заголовок новости Знак"/>
    <w:basedOn w:val="a0"/>
    <w:link w:val="ad"/>
    <w:rPr>
      <w:rFonts w:ascii="Segoe UI" w:eastAsiaTheme="majorEastAsia" w:hAnsi="Segoe UI" w:cs="Segoe UI"/>
      <w:b/>
      <w:bCs/>
      <w:color w:val="000000" w:themeColor="text1"/>
      <w:sz w:val="28"/>
      <w:szCs w:val="28"/>
    </w:rPr>
  </w:style>
  <w:style w:type="paragraph" w:customStyle="1" w:styleId="af">
    <w:name w:val="Текст новости"/>
    <w:basedOn w:val="a"/>
    <w:link w:val="af0"/>
    <w:qFormat/>
    <w:rPr>
      <w:rFonts w:ascii="Segoe UI" w:hAnsi="Segoe UI" w:cs="Segoe UI"/>
    </w:rPr>
  </w:style>
  <w:style w:type="character" w:customStyle="1" w:styleId="af0">
    <w:name w:val="Текст новости Знак"/>
    <w:basedOn w:val="a0"/>
    <w:link w:val="af"/>
    <w:rPr>
      <w:rFonts w:ascii="Segoe UI" w:hAnsi="Segoe UI" w:cs="Segoe UI"/>
    </w:rPr>
  </w:style>
  <w:style w:type="paragraph" w:styleId="af1">
    <w:name w:val="Normal (Web)"/>
    <w:basedOn w:val="a"/>
    <w:link w:val="af2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  <w14:ligatures w14:val="none"/>
    </w:rPr>
  </w:style>
  <w:style w:type="character" w:customStyle="1" w:styleId="af2">
    <w:name w:val="Обычный (веб) Знак"/>
    <w:link w:val="af1"/>
    <w:uiPriority w:val="99"/>
    <w:locked/>
    <w:rPr>
      <w:rFonts w:ascii="Times New Roman" w:eastAsia="Times New Roman" w:hAnsi="Times New Roman" w:cs="Times New Roman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ad">
    <w:name w:val="Заголовок новости"/>
    <w:basedOn w:val="1"/>
    <w:link w:val="ae"/>
    <w:qFormat/>
    <w:pPr>
      <w:spacing w:before="0" w:after="0"/>
      <w:jc w:val="center"/>
    </w:pPr>
    <w:rPr>
      <w:rFonts w:ascii="Segoe UI" w:hAnsi="Segoe UI" w:cs="Segoe UI"/>
      <w:b/>
      <w:bCs/>
      <w:color w:val="000000" w:themeColor="text1"/>
      <w:sz w:val="28"/>
      <w:szCs w:val="28"/>
    </w:rPr>
  </w:style>
  <w:style w:type="character" w:customStyle="1" w:styleId="ae">
    <w:name w:val="Заголовок новости Знак"/>
    <w:basedOn w:val="a0"/>
    <w:link w:val="ad"/>
    <w:rPr>
      <w:rFonts w:ascii="Segoe UI" w:eastAsiaTheme="majorEastAsia" w:hAnsi="Segoe UI" w:cs="Segoe UI"/>
      <w:b/>
      <w:bCs/>
      <w:color w:val="000000" w:themeColor="text1"/>
      <w:sz w:val="28"/>
      <w:szCs w:val="28"/>
    </w:rPr>
  </w:style>
  <w:style w:type="paragraph" w:customStyle="1" w:styleId="af">
    <w:name w:val="Текст новости"/>
    <w:basedOn w:val="a"/>
    <w:link w:val="af0"/>
    <w:qFormat/>
    <w:rPr>
      <w:rFonts w:ascii="Segoe UI" w:hAnsi="Segoe UI" w:cs="Segoe UI"/>
    </w:rPr>
  </w:style>
  <w:style w:type="character" w:customStyle="1" w:styleId="af0">
    <w:name w:val="Текст новости Знак"/>
    <w:basedOn w:val="a0"/>
    <w:link w:val="af"/>
    <w:rPr>
      <w:rFonts w:ascii="Segoe UI" w:hAnsi="Segoe UI" w:cs="Segoe UI"/>
    </w:rPr>
  </w:style>
  <w:style w:type="paragraph" w:styleId="af1">
    <w:name w:val="Normal (Web)"/>
    <w:basedOn w:val="a"/>
    <w:link w:val="af2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  <w14:ligatures w14:val="none"/>
    </w:rPr>
  </w:style>
  <w:style w:type="character" w:customStyle="1" w:styleId="af2">
    <w:name w:val="Обычный (веб) Знак"/>
    <w:link w:val="af1"/>
    <w:uiPriority w:val="99"/>
    <w:locked/>
    <w:rPr>
      <w:rFonts w:ascii="Times New Roman" w:eastAsia="Times New Roman" w:hAnsi="Times New Roman" w:cs="Times New Roman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rosreestr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:press66_rosree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2FEFA-A3BE-423C-BF9F-D190979BD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Погорельская Анна Константиновна</dc:creator>
  <cp:lastModifiedBy>User</cp:lastModifiedBy>
  <cp:revision>2</cp:revision>
  <dcterms:created xsi:type="dcterms:W3CDTF">2025-08-15T08:12:00Z</dcterms:created>
  <dcterms:modified xsi:type="dcterms:W3CDTF">2025-08-15T08:12:00Z</dcterms:modified>
</cp:coreProperties>
</file>