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andardus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-162000</wp:posOffset>
                </wp:positionH>
                <wp:positionV relativeFrom="paragraph">
                  <wp:posOffset>-334080</wp:posOffset>
                </wp:positionV>
                <wp:extent cx="2692440" cy="981000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>
                          <a:lum/>
                          <a:alphaModFix/>
                        </a:blip>
                        <a:stretch/>
                      </pic:blipFill>
                      <pic:spPr bwMode="auto">
                        <a:xfrm>
                          <a:off x="0" y="0"/>
                          <a:ext cx="2692440" cy="9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12.76pt;mso-position-horizontal:absolute;mso-position-vertical-relative:text;margin-top:-26.31pt;mso-position-vertical:absolute;width:212.00pt;height:77.24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>
      <w:pPr>
        <w:pStyle w:val="Standardus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</w:p>
    <w:p>
      <w:pPr>
        <w:pStyle w:val="Standarduser"/>
        <w:spacing w:after="0" w:line="240" w:lineRule="auto"/>
        <w:ind w:left="5664" w:firstLine="708"/>
        <w:jc w:val="center"/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Управление Росреестра по Свердловской области информирует о необходимости гражданами сохранять пункты ГГС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Свердловской области напоминает, что обязанность собственника земельного участка, на котором расположен межевой, геодезический и другой специальный знак, сохранять соответствующие знаки установлена статьей 42 Земельного кодекса Российской Федерации.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 каждого такого знака есть своя охранная зона. Границы охранной зоны пункта представляют собой квадрат со стороной 4 метра. Центр пункта ГГС совпадает с точкой пересечения диагоналей этого квадрата.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«Государственная геодезическая сеть, государственная нивелирная сеть и государственная гравиметрическая сеть создаются и используются для обеспечения выполнения геодезических и картографических работ. В целях обеспечения сохранности пунктов ГГС и ГНС Управление Росреестра по Свердловской области выполняет работы по установлению охранных зон этих пунктов и внесению сведений в ЕГРН. На сегодняшний день в ЕГРН содержатся сведения о 3 77</w:t>
      </w:r>
      <w:r>
        <w:rPr>
          <w:rFonts w:ascii="Times New Roman" w:hAnsi="Times New Roman" w:cs="Times New Roman"/>
          <w:i/>
          <w:sz w:val="26"/>
          <w:szCs w:val="26"/>
        </w:rPr>
        <w:t xml:space="preserve">4</w:t>
      </w:r>
      <w:r>
        <w:rPr>
          <w:rFonts w:ascii="Times New Roman" w:hAnsi="Times New Roman" w:cs="Times New Roman"/>
          <w:i/>
          <w:sz w:val="26"/>
          <w:szCs w:val="26"/>
        </w:rPr>
        <w:t xml:space="preserve"> охранных зон</w:t>
      </w:r>
      <w:r>
        <w:rPr>
          <w:rFonts w:ascii="Times New Roman" w:hAnsi="Times New Roman" w:cs="Times New Roman"/>
          <w:i/>
          <w:sz w:val="26"/>
          <w:szCs w:val="26"/>
        </w:rPr>
        <w:t xml:space="preserve">ах</w:t>
      </w:r>
      <w:r>
        <w:rPr>
          <w:rFonts w:ascii="Times New Roman" w:hAnsi="Times New Roman" w:cs="Times New Roman"/>
          <w:i/>
          <w:sz w:val="26"/>
          <w:szCs w:val="26"/>
        </w:rPr>
        <w:t xml:space="preserve"> пунктов ГГС и </w:t>
      </w:r>
      <w:r>
        <w:rPr>
          <w:rFonts w:ascii="Times New Roman" w:hAnsi="Times New Roman" w:cs="Times New Roman"/>
          <w:i/>
          <w:sz w:val="26"/>
          <w:szCs w:val="26"/>
        </w:rPr>
        <w:t xml:space="preserve">52</w:t>
      </w:r>
      <w:r>
        <w:rPr>
          <w:rFonts w:ascii="Times New Roman" w:hAnsi="Times New Roman" w:cs="Times New Roman"/>
          <w:i/>
          <w:sz w:val="26"/>
          <w:szCs w:val="26"/>
        </w:rPr>
        <w:t xml:space="preserve">4</w:t>
      </w:r>
      <w:r>
        <w:rPr>
          <w:rFonts w:ascii="Times New Roman" w:hAnsi="Times New Roman" w:cs="Times New Roman"/>
          <w:i/>
          <w:sz w:val="26"/>
          <w:szCs w:val="26"/>
        </w:rPr>
        <w:t xml:space="preserve"> охранных зонах пунктов ГНС</w:t>
      </w:r>
      <w:r>
        <w:rPr>
          <w:rFonts w:ascii="Times New Roman" w:hAnsi="Times New Roman" w:cs="Times New Roman"/>
          <w:sz w:val="26"/>
          <w:szCs w:val="26"/>
        </w:rPr>
        <w:t xml:space="preserve">» – отметила заместитель руководителя Управления Росреестра по Свердловской области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Татьяна </w:t>
      </w:r>
      <w:r>
        <w:rPr>
          <w:rFonts w:ascii="Times New Roman" w:hAnsi="Times New Roman" w:cs="Times New Roman"/>
          <w:b/>
          <w:sz w:val="26"/>
          <w:szCs w:val="26"/>
        </w:rPr>
        <w:t xml:space="preserve">Янтюшева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Уничтожение, повреждение или снос пунктов ГГС, пунктов геодезической сети специального назначения влечет наложение административного штрафа (п. 3 ст. 7.2 КоАП РФ).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Проверить, попадает ли земельный участок в охранную зону геодезического пункта, можно с помощью </w:t>
      </w:r>
      <w:hyperlink r:id="rId9" w:tooltip="https://nspd.gov.ru/#top_section" w:anchor="top_section" w:history="1">
        <w:r>
          <w:rPr>
            <w:rStyle w:val="af9"/>
            <w:rFonts w:ascii="Times New Roman" w:hAnsi="Times New Roman" w:cs="Times New Roman"/>
            <w:sz w:val="26"/>
            <w:szCs w:val="26"/>
          </w:rPr>
          <w:t xml:space="preserve">Портала пространственных данных «Национальная система пространственных данных»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этого пользователю необходимо найти на публичной кадастровой карте интересующий его земельный участок. В меню, в левом верхнем углу, нужно </w:t>
      </w:r>
      <w:r>
        <w:rPr>
          <w:rFonts w:ascii="Times New Roman" w:hAnsi="Times New Roman" w:cs="Times New Roman"/>
          <w:sz w:val="26"/>
          <w:szCs w:val="26"/>
        </w:rPr>
        <w:t xml:space="preserve">выбрать инструмент «Слои» и сделать активным слой «Зона с особыми условиями использования территорий». На карте синим цветом отобразятся зоны с особыми условиями использования территорий, внесенные в ЕГРН, в том числе и охранные зоны геодезических пунктов.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«О наличии или отсутствии охранной зоны геодезического пункта можно также узнать</w:t>
      </w:r>
      <w:r>
        <w:rPr>
          <w:rFonts w:ascii="Times New Roman" w:hAnsi="Times New Roman" w:cs="Times New Roman"/>
          <w:i/>
          <w:sz w:val="26"/>
          <w:szCs w:val="26"/>
        </w:rPr>
        <w:t xml:space="preserve">,</w:t>
      </w:r>
      <w:r>
        <w:rPr>
          <w:rFonts w:ascii="Times New Roman" w:hAnsi="Times New Roman" w:cs="Times New Roman"/>
          <w:i/>
          <w:sz w:val="26"/>
          <w:szCs w:val="26"/>
        </w:rPr>
        <w:t xml:space="preserve"> запросив выписку из ЕГРН</w:t>
      </w:r>
      <w:r>
        <w:rPr>
          <w:rFonts w:ascii="Times New Roman" w:hAnsi="Times New Roman" w:cs="Times New Roman"/>
          <w:i/>
          <w:sz w:val="26"/>
          <w:szCs w:val="26"/>
        </w:rPr>
        <w:t xml:space="preserve"> об объекте недвижимости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. Для этого можно подать запрос на официальном сайте Росреестра или на портале государственных услуг</w:t>
      </w:r>
      <w:r>
        <w:rPr>
          <w:rFonts w:ascii="Times New Roman" w:hAnsi="Times New Roman" w:cs="Times New Roman"/>
          <w:i/>
          <w:sz w:val="26"/>
          <w:szCs w:val="26"/>
        </w:rPr>
        <w:t xml:space="preserve">, либо обратиться в МФЦ</w:t>
      </w:r>
      <w:r>
        <w:rPr>
          <w:rFonts w:ascii="Times New Roman" w:hAnsi="Times New Roman" w:cs="Times New Roman"/>
          <w:i/>
          <w:sz w:val="26"/>
          <w:szCs w:val="26"/>
        </w:rPr>
        <w:t xml:space="preserve">. Информация об охранной зоне геодезического пункта отобразится в разделе «</w:t>
      </w:r>
      <w:r>
        <w:rPr>
          <w:rFonts w:ascii="Times New Roman" w:hAnsi="Times New Roman" w:cs="Times New Roman"/>
          <w:i/>
          <w:sz w:val="26"/>
          <w:szCs w:val="26"/>
        </w:rPr>
        <w:t xml:space="preserve">Сведения о характеристиках объекта недвижимости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», - </w:t>
      </w:r>
      <w:r>
        <w:rPr>
          <w:rFonts w:ascii="Times New Roman" w:hAnsi="Times New Roman" w:cs="Times New Roman"/>
          <w:sz w:val="26"/>
          <w:szCs w:val="26"/>
        </w:rPr>
        <w:t xml:space="preserve">сообщает заместитель директора филиала </w:t>
      </w:r>
      <w:r>
        <w:rPr>
          <w:rFonts w:ascii="Times New Roman" w:hAnsi="Times New Roman" w:cs="Times New Roman"/>
          <w:sz w:val="26"/>
          <w:szCs w:val="26"/>
        </w:rPr>
        <w:t xml:space="preserve">публично-правовой компании «</w:t>
      </w:r>
      <w:r>
        <w:rPr>
          <w:rFonts w:ascii="Times New Roman" w:hAnsi="Times New Roman" w:cs="Times New Roman"/>
          <w:sz w:val="26"/>
          <w:szCs w:val="26"/>
        </w:rPr>
        <w:t xml:space="preserve">Роскадастр</w:t>
      </w:r>
      <w:r>
        <w:rPr>
          <w:rFonts w:ascii="Times New Roman" w:hAnsi="Times New Roman" w:cs="Times New Roman"/>
          <w:sz w:val="26"/>
          <w:szCs w:val="26"/>
        </w:rPr>
        <w:t xml:space="preserve">» по Уральскому федеральному округу </w:t>
      </w:r>
      <w:r>
        <w:rPr>
          <w:rFonts w:ascii="Times New Roman" w:hAnsi="Times New Roman" w:cs="Times New Roman"/>
          <w:b/>
          <w:sz w:val="26"/>
          <w:szCs w:val="26"/>
        </w:rPr>
        <w:t xml:space="preserve">Юрий Белоусов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</w:p>
    <w:p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#РосреестрРазъясняет #НСПД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#ГГС России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#УслугиРосреестра</w:t>
      </w:r>
    </w:p>
    <w:p>
      <w:pPr>
        <w:ind w:firstLine="708"/>
        <w:jc w:val="both"/>
      </w:pPr>
      <w:r>
        <w:rPr>
          <w:rFonts w:ascii="Segoe UI" w:hAnsi="Segoe UI" w:eastAsia="Times New Roman" w:cs="Segoe UI"/>
          <w:b/>
          <w:sz w:val="18"/>
          <w:szCs w:val="18"/>
          <w:lang w:eastAsia="ru-RU"/>
        </w:rPr>
        <w:t xml:space="preserve">Контакты для СМИ: 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</w:t>
      </w:r>
    </w:p>
    <w:p>
      <w:pPr>
        <w:pStyle w:val="Standarduser"/>
        <w:spacing w:after="0" w:line="240" w:lineRule="auto"/>
        <w:jc w:val="both"/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+7 343</w:t>
      </w:r>
      <w:r>
        <w:rPr>
          <w:rFonts w:ascii="Segoe UI" w:hAnsi="Segoe UI" w:eastAsia="Times New Roman" w:cs="Segoe UI"/>
          <w:sz w:val="18"/>
          <w:szCs w:val="18"/>
          <w:lang w:val="en-US" w:eastAsia="ru-RU"/>
        </w:rPr>
        <w:t xml:space="preserve"> 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375 40 81  </w:t>
      </w:r>
    </w:p>
    <w:p>
      <w:pPr>
        <w:pStyle w:val="Standarduser"/>
        <w:spacing w:after="0" w:line="240" w:lineRule="auto"/>
        <w:jc w:val="both"/>
      </w:pPr>
      <w:hyperlink r:id="rId10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press</w:t>
        </w:r>
      </w:hyperlink>
      <w:hyperlink r:id="rId11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66_</w:t>
        </w:r>
      </w:hyperlink>
      <w:hyperlink r:id="rId12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</w:hyperlink>
      <w:hyperlink r:id="rId13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@</w:t>
        </w:r>
      </w:hyperlink>
      <w:hyperlink r:id="rId14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mail</w:t>
        </w:r>
      </w:hyperlink>
      <w:hyperlink r:id="rId15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</w:hyperlink>
      <w:hyperlink r:id="rId16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pStyle w:val="Standarduser"/>
        <w:spacing w:after="0" w:line="240" w:lineRule="auto"/>
        <w:jc w:val="both"/>
      </w:pPr>
      <w:hyperlink r:id="rId17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</w:hyperlink>
      <w:hyperlink r:id="rId18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</w:hyperlink>
      <w:hyperlink r:id="rId19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</w:hyperlink>
      <w:hyperlink r:id="rId20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</w:hyperlink>
      <w:hyperlink r:id="rId21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</w:hyperlink>
      <w:hyperlink r:id="rId22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</w:hyperlink>
      <w:hyperlink r:id="rId23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pStyle w:val="Standarduser"/>
        <w:spacing w:after="0" w:line="240" w:lineRule="auto"/>
        <w:jc w:val="both"/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F">
    <w:panose1 w:val="020B06030201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10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10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10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10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Standarduser" w:customStyle="1">
    <w:name w:val="Standard (user)"/>
    <w:pPr>
      <w:spacing w:after="160" w:line="259" w:lineRule="auto"/>
    </w:pPr>
    <w:rPr>
      <w:rFonts w:ascii="Calibri" w:hAnsi="Calibri" w:eastAsia="Calibri" w:cs="F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nspd.gov.ru/" TargetMode="External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mailto::press66_rosreestr@mail.ru" TargetMode="External"/><Relationship Id="rId12" Type="http://schemas.openxmlformats.org/officeDocument/2006/relationships/hyperlink" Target="mailto::press66_rosreestr@mail.ru" TargetMode="External"/><Relationship Id="rId13" Type="http://schemas.openxmlformats.org/officeDocument/2006/relationships/hyperlink" Target="mailto::press66_rosreestr@mail.ru" TargetMode="External"/><Relationship Id="rId14" Type="http://schemas.openxmlformats.org/officeDocument/2006/relationships/hyperlink" Target="mailto::press66_rosreestr@mail.ru" TargetMode="External"/><Relationship Id="rId15" Type="http://schemas.openxmlformats.org/officeDocument/2006/relationships/hyperlink" Target="mailto::press66_rosreestr@mail.ru" TargetMode="External"/><Relationship Id="rId16" Type="http://schemas.openxmlformats.org/officeDocument/2006/relationships/hyperlink" Target="mailto::press66_rosreestr@mail.ru" TargetMode="External"/><Relationship Id="rId17" Type="http://schemas.openxmlformats.org/officeDocument/2006/relationships/hyperlink" Target="http://www.rosreestr.gov.ru" TargetMode="External"/><Relationship Id="rId18" Type="http://schemas.openxmlformats.org/officeDocument/2006/relationships/hyperlink" Target="http://www.rosreestr.gov.ru" TargetMode="External"/><Relationship Id="rId19" Type="http://schemas.openxmlformats.org/officeDocument/2006/relationships/hyperlink" Target="http://www.rosreestr.gov.ru" TargetMode="External"/><Relationship Id="rId20" Type="http://schemas.openxmlformats.org/officeDocument/2006/relationships/hyperlink" Target="http://www.rosreestr.gov.ru" TargetMode="External"/><Relationship Id="rId21" Type="http://schemas.openxmlformats.org/officeDocument/2006/relationships/hyperlink" Target="http://www.rosreestr.gov.ru" TargetMode="External"/><Relationship Id="rId22" Type="http://schemas.openxmlformats.org/officeDocument/2006/relationships/hyperlink" Target="http://www.rosreestr.gov.ru" TargetMode="External"/><Relationship Id="rId23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3774</Characters>
  <CharactersWithSpaces>4428</CharactersWithSpaces>
  <Company/>
  <DocSecurity>0</DocSecurity>
  <HyperlinksChanged>false</HyperlinksChanged>
  <Lines>31</Lines>
  <LinksUpToDate>false</LinksUpToDate>
  <Pages>2</Pages>
  <Paragraphs>8</Paragraphs>
  <ScaleCrop>false</ScaleCrop>
  <SharedDoc>false</SharedDoc>
  <Template>Normal</Template>
  <TotalTime>1</TotalTime>
  <Words>662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Погорельская Анна Константиновна</cp:lastModifiedBy>
  <cp:revision>5</cp:revision>
  <dcterms:created xsi:type="dcterms:W3CDTF">2025-10-31T10:30:00Z</dcterms:created>
  <dcterms:modified xsi:type="dcterms:W3CDTF">2025-11-01T03:59:00Z</dcterms:modified>
</cp:coreProperties>
</file>