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A5536">
        <w:rPr>
          <w:rFonts w:ascii="Arial" w:hAnsi="Arial" w:cs="Arial"/>
          <w:b/>
          <w:sz w:val="28"/>
          <w:szCs w:val="28"/>
        </w:rPr>
        <w:t>08</w:t>
      </w:r>
      <w:r w:rsidR="00F91F33">
        <w:rPr>
          <w:rFonts w:ascii="Arial" w:hAnsi="Arial" w:cs="Arial"/>
          <w:b/>
          <w:sz w:val="28"/>
          <w:szCs w:val="28"/>
        </w:rPr>
        <w:t xml:space="preserve">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DA5536">
        <w:rPr>
          <w:rFonts w:ascii="Arial" w:hAnsi="Arial" w:cs="Arial"/>
          <w:b/>
          <w:sz w:val="28"/>
          <w:szCs w:val="28"/>
        </w:rPr>
        <w:t>16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EF791D">
        <w:rPr>
          <w:rFonts w:ascii="Arial" w:hAnsi="Arial" w:cs="Arial"/>
          <w:b/>
          <w:sz w:val="28"/>
          <w:szCs w:val="28"/>
        </w:rPr>
        <w:t>Об утверждении формы проверочных листов, применяемых при осуществлении муниципального контроля на автомобильном транспорте и в дорожном хозяйстве на территории</w:t>
      </w:r>
      <w:r w:rsidRPr="00EF791D">
        <w:rPr>
          <w:rFonts w:ascii="Arial" w:hAnsi="Arial" w:cs="Arial"/>
        </w:rPr>
        <w:t xml:space="preserve"> </w:t>
      </w:r>
      <w:r w:rsidRPr="00EF791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EF791D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 xml:space="preserve">1. Утвердить типовые формы проверочных листов, применяемых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F791D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EF791D" w:rsidRPr="00F91F33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EF791D" w:rsidRPr="00F91F33" w:rsidRDefault="00EF791D" w:rsidP="00EF79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1F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F33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EF791D" w:rsidRDefault="00EF791D" w:rsidP="00EF791D">
      <w:pPr>
        <w:rPr>
          <w:color w:val="000000"/>
          <w:sz w:val="28"/>
          <w:szCs w:val="28"/>
        </w:rPr>
      </w:pPr>
    </w:p>
    <w:p w:rsidR="00EF791D" w:rsidRPr="00F91F33" w:rsidRDefault="00EF791D" w:rsidP="00EF79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91F33">
        <w:rPr>
          <w:rFonts w:ascii="Arial" w:hAnsi="Arial" w:cs="Arial"/>
          <w:sz w:val="24"/>
          <w:szCs w:val="24"/>
        </w:rPr>
        <w:t xml:space="preserve">   А.Н. Кошелев</w:t>
      </w: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F791D" w:rsidRDefault="00EF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  <w:r w:rsidR="00EF791D">
        <w:rPr>
          <w:sz w:val="24"/>
          <w:szCs w:val="24"/>
        </w:rPr>
        <w:t xml:space="preserve"> №1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DA5536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№16 от 08</w:t>
      </w:r>
      <w:r w:rsidR="00F91F33" w:rsidRPr="00F97E2A">
        <w:rPr>
          <w:sz w:val="24"/>
          <w:szCs w:val="24"/>
        </w:rPr>
        <w:t>.0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>.202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EF791D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EF791D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hAnsi="Arial" w:cs="Arial"/>
                <w:sz w:val="24"/>
                <w:szCs w:val="24"/>
                <w:u w:val="single"/>
              </w:rPr>
              <w:t xml:space="preserve">(в части пассажирских перевозок)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Краснополянского сельского поселения</w:t>
            </w:r>
          </w:p>
        </w:tc>
      </w:tr>
      <w:tr w:rsidR="00EF791D" w:rsidRPr="00EF791D" w:rsidTr="00EF791D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постановлением Администрации Краснополянского сельского поселения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«___» _________20___ г. №______ 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EF791D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проводящего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(-их) контрольное мероприятие и заполняющег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проверочный лист</w:t>
            </w:r>
          </w:p>
        </w:tc>
      </w:tr>
      <w:tr w:rsidR="00EF791D" w:rsidRPr="00EF791D" w:rsidTr="00EF791D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EF791D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964"/>
              <w:gridCol w:w="2430"/>
              <w:gridCol w:w="351"/>
              <w:gridCol w:w="437"/>
              <w:gridCol w:w="1588"/>
              <w:gridCol w:w="1966"/>
            </w:tblGrid>
            <w:tr w:rsidR="00EF791D" w:rsidRPr="00EF791D" w:rsidTr="002E4BCF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ч. 3 ст. 14Федерального закона от 13.07.2015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220-ФЗ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ind w:firstLine="720"/>
                    <w:textAlignment w:val="baseline"/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</w:pPr>
                  <w:r w:rsidRPr="00EF791D"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</w:t>
                  </w:r>
                  <w:r w:rsidRPr="00EF791D">
                    <w:rPr>
                      <w:rFonts w:ascii="Arial" w:eastAsia="Calibri" w:hAnsi="Arial" w:cs="Arial"/>
                      <w:kern w:val="3"/>
                      <w:sz w:val="24"/>
                      <w:szCs w:val="24"/>
                    </w:rPr>
                    <w:lastRenderedPageBreak/>
                    <w:t xml:space="preserve">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 ч. 4 ст. 17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ч. 4-5 ст. 19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Остановка транспортных сре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Указатели, определяющие место остановки транспортного средства для посадки (высадки) пассажиров на остановочных пунктах (за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11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б) о расписаниях перевозок по маршрутам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регулярных перевозок;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15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Информация, предусмотренная </w:t>
                  </w:r>
                  <w:hyperlink r:id="rId11" w:history="1">
                    <w:r w:rsidRPr="00EF791D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пунктом 15</w:t>
                    </w:r>
                  </w:hyperlink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16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18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19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20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Указатели маршрута регулярных перевозок, указанные в </w:t>
                  </w:r>
                  <w:hyperlink r:id="rId12" w:history="1">
                    <w:r w:rsidRPr="00EF791D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пункте 18</w:t>
                    </w:r>
                  </w:hyperlink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22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в) стоимость проезда, провоза ручной клади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д) указатели мест расположения огнетушителей;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е) указатели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мест расположения кнопок остановки транспортного средства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ж) указатели аварийных выходов и правила пользования такими выходами;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з) права и обязанности пассажиров согласно настоящим Правилам;</w:t>
                  </w:r>
                </w:p>
                <w:p w:rsidR="00EF791D" w:rsidRPr="00EF791D" w:rsidRDefault="00EF791D" w:rsidP="00EF791D">
                  <w:pPr>
                    <w:shd w:val="clear" w:color="auto" w:fill="FFFFFF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24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", над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25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27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29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31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33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34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п. 35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45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48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п. 49 постановления Правительства РФ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513D7A">
      <w:pPr>
        <w:pageBreakBefore/>
        <w:autoSpaceDN w:val="0"/>
        <w:spacing w:after="0" w:line="240" w:lineRule="auto"/>
        <w:ind w:left="-851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791D" w:rsidRPr="00F97E2A" w:rsidRDefault="00EF791D" w:rsidP="00EF791D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513D7A">
        <w:rPr>
          <w:sz w:val="24"/>
          <w:szCs w:val="24"/>
        </w:rPr>
        <w:t>2</w:t>
      </w:r>
    </w:p>
    <w:p w:rsidR="00EF791D" w:rsidRPr="00F97E2A" w:rsidRDefault="00EF791D" w:rsidP="00EF791D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EF791D" w:rsidRPr="00F97E2A" w:rsidRDefault="00EF791D" w:rsidP="00EF791D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EF791D" w:rsidRDefault="00DA5536" w:rsidP="00EF79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№16 от 08</w:t>
      </w:r>
      <w:r w:rsidR="00EF791D" w:rsidRPr="00F97E2A">
        <w:rPr>
          <w:sz w:val="24"/>
          <w:szCs w:val="24"/>
        </w:rPr>
        <w:t>.0</w:t>
      </w:r>
      <w:r w:rsidR="00EF791D">
        <w:rPr>
          <w:sz w:val="24"/>
          <w:szCs w:val="24"/>
        </w:rPr>
        <w:t>2</w:t>
      </w:r>
      <w:r w:rsidR="00EF791D" w:rsidRPr="00F97E2A">
        <w:rPr>
          <w:sz w:val="24"/>
          <w:szCs w:val="24"/>
        </w:rPr>
        <w:t>.202</w:t>
      </w:r>
      <w:r w:rsidR="00EF791D">
        <w:rPr>
          <w:sz w:val="24"/>
          <w:szCs w:val="24"/>
        </w:rPr>
        <w:t>2</w:t>
      </w:r>
      <w:r w:rsidR="00EF791D" w:rsidRPr="00F97E2A">
        <w:rPr>
          <w:sz w:val="24"/>
          <w:szCs w:val="24"/>
        </w:rPr>
        <w:t xml:space="preserve"> г.</w:t>
      </w:r>
    </w:p>
    <w:p w:rsidR="00513D7A" w:rsidRPr="00513D7A" w:rsidRDefault="00513D7A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513D7A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513D7A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suppressAutoHyphens/>
              <w:autoSpaceDN w:val="0"/>
              <w:spacing w:after="0" w:line="240" w:lineRule="auto"/>
              <w:ind w:left="-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(в части объектов дорожного сервиса)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Краснополянского сельского поселения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постановлением Администрации Краснополянского сельского поселения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«___» _________20___ г. №______ 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2879"/>
              <w:gridCol w:w="2405"/>
              <w:gridCol w:w="349"/>
              <w:gridCol w:w="437"/>
              <w:gridCol w:w="1588"/>
              <w:gridCol w:w="1958"/>
            </w:tblGrid>
            <w:tr w:rsidR="00EF791D" w:rsidRPr="00EF791D" w:rsidTr="002E4BCF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отвода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EF791D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Российской Федерации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Федеральным законом от 08.11.2007 № 257-ФЗ «Об автомобильных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«Об автомобильных дорогах и о дорожной деятельности в Российской Федерации и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13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8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договора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7 статьи 22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 закона от 08 ноября 2007 года № 257-ФЗ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10, 16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14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6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Обустройство объектов дорожного сервиса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6 статьи 22 Федерального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91D" w:rsidRPr="00EF791D" w:rsidRDefault="00EF791D" w:rsidP="00EF791D">
      <w:pPr>
        <w:pageBreakBefore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3D7A" w:rsidRPr="00F97E2A" w:rsidRDefault="00513D7A" w:rsidP="00513D7A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</w:t>
      </w:r>
    </w:p>
    <w:p w:rsidR="00513D7A" w:rsidRPr="00F97E2A" w:rsidRDefault="00513D7A" w:rsidP="00513D7A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513D7A" w:rsidRPr="00F97E2A" w:rsidRDefault="00513D7A" w:rsidP="00513D7A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513D7A" w:rsidRDefault="00DA5536" w:rsidP="00513D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№16 от 08</w:t>
      </w:r>
      <w:bookmarkStart w:id="0" w:name="_GoBack"/>
      <w:bookmarkEnd w:id="0"/>
      <w:r w:rsidR="00513D7A" w:rsidRPr="00F97E2A">
        <w:rPr>
          <w:sz w:val="24"/>
          <w:szCs w:val="24"/>
        </w:rPr>
        <w:t>.0</w:t>
      </w:r>
      <w:r w:rsidR="00513D7A">
        <w:rPr>
          <w:sz w:val="24"/>
          <w:szCs w:val="24"/>
        </w:rPr>
        <w:t>2</w:t>
      </w:r>
      <w:r w:rsidR="00513D7A" w:rsidRPr="00F97E2A">
        <w:rPr>
          <w:sz w:val="24"/>
          <w:szCs w:val="24"/>
        </w:rPr>
        <w:t>.202</w:t>
      </w:r>
      <w:r w:rsidR="00513D7A">
        <w:rPr>
          <w:sz w:val="24"/>
          <w:szCs w:val="24"/>
        </w:rPr>
        <w:t>2</w:t>
      </w:r>
      <w:r w:rsidR="00513D7A" w:rsidRPr="00F97E2A">
        <w:rPr>
          <w:sz w:val="24"/>
          <w:szCs w:val="24"/>
        </w:rPr>
        <w:t xml:space="preserve"> г.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F791D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F791D" w:rsidRPr="00EF791D" w:rsidRDefault="00EF791D" w:rsidP="00EF79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7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EF791D" w:rsidRPr="00EF791D" w:rsidTr="00513D7A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EF791D" w:rsidRPr="00EF791D" w:rsidTr="00513D7A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513D7A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 муниципального контро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на автомобильном транспорте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дорожном хозяйстве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(в части капитального ремонта и содержания дорог)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Краснополянского сельского поселения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Форма проверочного листа утвержде</w:t>
            </w:r>
            <w:r w:rsidR="0051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постановлением Администрации Краснополянского сельского поселения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«___» _________20___ г. №______ 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791D" w:rsidRPr="00EF791D" w:rsidTr="00513D7A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EF791D" w:rsidRPr="00EF791D" w:rsidTr="00513D7A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902"/>
              <w:gridCol w:w="2421"/>
              <w:gridCol w:w="350"/>
              <w:gridCol w:w="437"/>
              <w:gridCol w:w="1588"/>
              <w:gridCol w:w="1960"/>
            </w:tblGrid>
            <w:tr w:rsidR="00EF791D" w:rsidRPr="00EF791D" w:rsidTr="002E4BCF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отвода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4" w:history="1">
                    <w:r w:rsidRPr="00EF791D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w:t>кодексом</w:t>
                    </w:r>
                  </w:hyperlink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Российской Федерации и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Федеральным законом от 08.11.2007 № 257-ФЗ «Об автомобильных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EF79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«Об автомобильных дорогах и о дорожной деятельности в Российской Федерации и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13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ind w:firstLine="440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8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договора 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7 статьи 22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 закона от 08 ноября 2007 года № 257-ФЗ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10, 16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14 Порядка установления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и использования придорожных </w:t>
                  </w: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полос</w:t>
                  </w:r>
                  <w:proofErr w:type="gramEnd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91D" w:rsidRPr="00EF791D" w:rsidTr="002E4BCF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Обустройство объектов дорожного сервиса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часть 6 статьи 22 Федерального </w:t>
                  </w: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 12 Порядка установления </w:t>
                  </w:r>
                </w:p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791D" w:rsidRPr="00EF791D" w:rsidTr="002E4BCF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91D" w:rsidRPr="00EF791D" w:rsidRDefault="00EF791D" w:rsidP="00EF791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F791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1D" w:rsidRPr="00EF791D" w:rsidTr="00513D7A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91D" w:rsidRPr="00EF791D" w:rsidRDefault="00EF791D" w:rsidP="00EF7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91D" w:rsidRPr="00EF791D" w:rsidRDefault="00EF791D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513D7A" w:rsidRDefault="00F91F33" w:rsidP="00EF79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513D7A" w:rsidRDefault="00F91F33" w:rsidP="00F91F33">
      <w:pPr>
        <w:pStyle w:val="ConsPlusNormal"/>
        <w:jc w:val="right"/>
        <w:rPr>
          <w:sz w:val="24"/>
          <w:szCs w:val="24"/>
        </w:rPr>
      </w:pPr>
    </w:p>
    <w:sectPr w:rsidR="00F91F33" w:rsidRPr="00513D7A" w:rsidSect="00F91F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BE" w:rsidRDefault="00E173BE" w:rsidP="007B67F2">
      <w:pPr>
        <w:spacing w:after="0" w:line="240" w:lineRule="auto"/>
      </w:pPr>
      <w:r>
        <w:separator/>
      </w:r>
    </w:p>
  </w:endnote>
  <w:endnote w:type="continuationSeparator" w:id="0">
    <w:p w:rsidR="00E173BE" w:rsidRDefault="00E173BE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BE" w:rsidRDefault="00E173BE" w:rsidP="007B67F2">
      <w:pPr>
        <w:spacing w:after="0" w:line="240" w:lineRule="auto"/>
      </w:pPr>
      <w:r>
        <w:separator/>
      </w:r>
    </w:p>
  </w:footnote>
  <w:footnote w:type="continuationSeparator" w:id="0">
    <w:p w:rsidR="00E173BE" w:rsidRDefault="00E173BE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8AC40BB"/>
    <w:multiLevelType w:val="multilevel"/>
    <w:tmpl w:val="E8C8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13D7A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A252C"/>
    <w:rsid w:val="00DA5536"/>
    <w:rsid w:val="00DB70C0"/>
    <w:rsid w:val="00DC3D04"/>
    <w:rsid w:val="00DF230C"/>
    <w:rsid w:val="00E173BE"/>
    <w:rsid w:val="00E32E2D"/>
    <w:rsid w:val="00E52D07"/>
    <w:rsid w:val="00EF791D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143-6C1D-48E7-83F5-2734026F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2022-02-08T08:01:00Z</cp:lastPrinted>
  <dcterms:created xsi:type="dcterms:W3CDTF">2021-09-30T06:03:00Z</dcterms:created>
  <dcterms:modified xsi:type="dcterms:W3CDTF">2022-02-08T08:01:00Z</dcterms:modified>
</cp:coreProperties>
</file>