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CD" w:rsidRDefault="00CB35CD" w:rsidP="00CB3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166E194" wp14:editId="0361B50C">
            <wp:extent cx="2857500" cy="952500"/>
            <wp:effectExtent l="0" t="0" r="0" b="0"/>
            <wp:docPr id="1" name="Рисунок 1" descr="https://spravkibk.r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ravkibk.ru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CD" w:rsidRDefault="00CB35CD" w:rsidP="00CB3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5CD" w:rsidRPr="00B63D3F" w:rsidRDefault="00CB35CD" w:rsidP="00CB3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D3F">
        <w:rPr>
          <w:rFonts w:ascii="Times New Roman" w:hAnsi="Times New Roman" w:cs="Times New Roman"/>
          <w:b/>
          <w:sz w:val="26"/>
          <w:szCs w:val="26"/>
        </w:rPr>
        <w:t>Версия справки</w:t>
      </w:r>
    </w:p>
    <w:p w:rsidR="00CB35CD" w:rsidRPr="00B63D3F" w:rsidRDefault="00CB35CD" w:rsidP="00CB3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Pr="00B63D3F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СПО "Справки БК" (версия 2.5.1) от 14.02.2022</w:t>
        </w:r>
      </w:hyperlink>
    </w:p>
    <w:p w:rsidR="00CB35CD" w:rsidRPr="00B63D3F" w:rsidRDefault="00CB35CD" w:rsidP="00CB35CD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 w:rsidRPr="00B63D3F">
        <w:rPr>
          <w:rFonts w:ascii="Times New Roman" w:hAnsi="Times New Roman"/>
          <w:sz w:val="26"/>
          <w:szCs w:val="26"/>
        </w:rPr>
        <w:t>СПО "Справки БК" размещено на официальном сайте Президента Российской Федерации (</w:t>
      </w:r>
      <w:hyperlink r:id="rId8" w:history="1">
        <w:r w:rsidRPr="00B63D3F">
          <w:rPr>
            <w:rStyle w:val="a6"/>
            <w:rFonts w:ascii="Times New Roman" w:hAnsi="Times New Roman"/>
            <w:sz w:val="26"/>
            <w:szCs w:val="26"/>
          </w:rPr>
          <w:t>http://www.kremlin.ru/structure/additional/12</w:t>
        </w:r>
      </w:hyperlink>
      <w:r w:rsidRPr="00B63D3F">
        <w:rPr>
          <w:rFonts w:ascii="Times New Roman" w:hAnsi="Times New Roman"/>
          <w:sz w:val="26"/>
          <w:szCs w:val="26"/>
        </w:rPr>
        <w:t>), 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</w:t>
      </w:r>
      <w:hyperlink r:id="rId9" w:history="1">
        <w:r w:rsidRPr="00B63D3F">
          <w:rPr>
            <w:rStyle w:val="a6"/>
            <w:rFonts w:ascii="Times New Roman" w:hAnsi="Times New Roman"/>
            <w:sz w:val="26"/>
            <w:szCs w:val="26"/>
          </w:rPr>
          <w:t>https://gossluzhba.gov.ru/anticorruption/spravki_bk</w:t>
        </w:r>
      </w:hyperlink>
      <w:r w:rsidRPr="00B63D3F">
        <w:rPr>
          <w:rFonts w:ascii="Times New Roman" w:hAnsi="Times New Roman"/>
          <w:sz w:val="26"/>
          <w:szCs w:val="26"/>
        </w:rPr>
        <w:t>).</w:t>
      </w:r>
    </w:p>
    <w:p w:rsidR="00CB35CD" w:rsidRDefault="00CB35CD" w:rsidP="00CB3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CB3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D11527" wp14:editId="1E252E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123950"/>
            <wp:effectExtent l="0" t="0" r="0" b="0"/>
            <wp:wrapSquare wrapText="bothSides"/>
            <wp:docPr id="2" name="Рисунок 2" descr="Когнитивные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нитивные ошибк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5CD" w:rsidRDefault="00CB35CD" w:rsidP="00CB35C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Рассмотрим самые распространенные ошибки в разделах</w:t>
      </w:r>
    </w:p>
    <w:p w:rsidR="00CB35CD" w:rsidRPr="00CB35CD" w:rsidRDefault="00CB35CD" w:rsidP="00CB35C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Pr="00CB35CD">
        <w:rPr>
          <w:rFonts w:ascii="Times New Roman" w:hAnsi="Times New Roman"/>
          <w:b/>
          <w:i/>
          <w:sz w:val="28"/>
          <w:szCs w:val="28"/>
        </w:rPr>
        <w:t>СВЕДЕНИЯ О ДОХОДАХ</w:t>
      </w:r>
    </w:p>
    <w:p w:rsidR="00CB35CD" w:rsidRPr="005B0380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Полученные доходы, в том числе по основному месту работы, указываются без вычета налога на доходы физических лиц.</w:t>
      </w:r>
    </w:p>
    <w:p w:rsidR="00CB35CD" w:rsidRPr="005B0380" w:rsidRDefault="00CB35CD" w:rsidP="00CB35CD">
      <w:pPr>
        <w:pStyle w:val="a3"/>
        <w:tabs>
          <w:tab w:val="left" w:pos="1134"/>
        </w:tabs>
        <w:ind w:left="0"/>
        <w:rPr>
          <w:rFonts w:ascii="Times New Roman" w:hAnsi="Times New Roman"/>
          <w:b/>
          <w:sz w:val="26"/>
          <w:szCs w:val="26"/>
        </w:rPr>
      </w:pPr>
      <w:r w:rsidRPr="005B0380">
        <w:rPr>
          <w:rFonts w:ascii="Times New Roman" w:hAnsi="Times New Roman"/>
          <w:b/>
          <w:sz w:val="26"/>
          <w:szCs w:val="26"/>
        </w:rPr>
        <w:t>1. Доход по основному месту работы</w:t>
      </w:r>
    </w:p>
    <w:p w:rsidR="00CB35CD" w:rsidRPr="005B0380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Указанию подлежит общая сумма дохода, содержащаяся в справке по форме 2-НДФЛ, выдаваемой по месту службы (работы) (графа "Общая сумма дохода").</w:t>
      </w:r>
    </w:p>
    <w:p w:rsidR="00CB35CD" w:rsidRPr="005B0380" w:rsidRDefault="00CB35CD" w:rsidP="00CB35CD">
      <w:pPr>
        <w:pStyle w:val="a3"/>
        <w:tabs>
          <w:tab w:val="left" w:pos="1276"/>
        </w:tabs>
        <w:ind w:left="0"/>
        <w:rPr>
          <w:rFonts w:ascii="Times New Roman" w:hAnsi="Times New Roman"/>
          <w:b/>
          <w:sz w:val="26"/>
          <w:szCs w:val="26"/>
        </w:rPr>
      </w:pPr>
      <w:r w:rsidRPr="005B0380">
        <w:rPr>
          <w:rFonts w:ascii="Times New Roman" w:hAnsi="Times New Roman"/>
          <w:b/>
          <w:sz w:val="26"/>
          <w:szCs w:val="26"/>
        </w:rPr>
        <w:t>2. Доход от педагогической и научной деятельности</w:t>
      </w:r>
    </w:p>
    <w:p w:rsidR="00CB35CD" w:rsidRPr="005B0380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В данной строке указывается сумма дохода от педагогической деятельности (сумма дохода, содержащаяся в справке по форме 2-НДФЛ, выданной по месту преподавания)</w:t>
      </w:r>
      <w:r>
        <w:rPr>
          <w:rFonts w:ascii="Times New Roman" w:hAnsi="Times New Roman"/>
          <w:sz w:val="26"/>
          <w:szCs w:val="26"/>
        </w:rPr>
        <w:t>.</w:t>
      </w:r>
    </w:p>
    <w:p w:rsidR="00CB35CD" w:rsidRPr="005B0380" w:rsidRDefault="00CB35CD" w:rsidP="00CB35CD">
      <w:pPr>
        <w:pStyle w:val="a3"/>
        <w:ind w:left="0"/>
        <w:rPr>
          <w:rFonts w:ascii="Times New Roman" w:hAnsi="Times New Roman"/>
          <w:b/>
          <w:sz w:val="26"/>
          <w:szCs w:val="26"/>
        </w:rPr>
      </w:pPr>
      <w:r w:rsidRPr="005B0380">
        <w:rPr>
          <w:rFonts w:ascii="Times New Roman" w:hAnsi="Times New Roman"/>
          <w:b/>
          <w:sz w:val="26"/>
          <w:szCs w:val="26"/>
        </w:rPr>
        <w:t>3. Доход от иной творческой деятельности</w:t>
      </w:r>
    </w:p>
    <w:p w:rsidR="00CB35CD" w:rsidRPr="005B0380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proofErr w:type="gramStart"/>
      <w:r w:rsidRPr="005B0380">
        <w:rPr>
          <w:rFonts w:ascii="Times New Roman" w:hAnsi="Times New Roman"/>
          <w:sz w:val="26"/>
          <w:szCs w:val="26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 и т.д.</w:t>
      </w:r>
      <w:proofErr w:type="gramEnd"/>
    </w:p>
    <w:p w:rsidR="00CB35CD" w:rsidRPr="005B0380" w:rsidRDefault="00CB35CD" w:rsidP="00CB35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0380">
        <w:rPr>
          <w:rFonts w:ascii="Times New Roman" w:hAnsi="Times New Roman" w:cs="Times New Roman"/>
          <w:b/>
          <w:sz w:val="26"/>
          <w:szCs w:val="26"/>
        </w:rPr>
        <w:t>4. Доход от вкладов в банках и иных кредитных организациях.</w:t>
      </w:r>
    </w:p>
    <w:p w:rsidR="00CB35CD" w:rsidRPr="005B0380" w:rsidRDefault="00CB35CD" w:rsidP="00CB35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</w:t>
      </w:r>
    </w:p>
    <w:p w:rsidR="00CB35CD" w:rsidRPr="005B0380" w:rsidRDefault="00CB35CD" w:rsidP="00CB35CD">
      <w:pPr>
        <w:pStyle w:val="a3"/>
        <w:tabs>
          <w:tab w:val="left" w:pos="1276"/>
        </w:tabs>
        <w:ind w:left="0"/>
        <w:rPr>
          <w:rFonts w:ascii="Times New Roman" w:hAnsi="Times New Roman"/>
          <w:b/>
          <w:sz w:val="26"/>
          <w:szCs w:val="26"/>
        </w:rPr>
      </w:pPr>
      <w:r w:rsidRPr="005B0380">
        <w:rPr>
          <w:rFonts w:ascii="Times New Roman" w:hAnsi="Times New Roman"/>
          <w:b/>
          <w:sz w:val="26"/>
          <w:szCs w:val="26"/>
        </w:rPr>
        <w:t>5.</w:t>
      </w:r>
      <w:r w:rsidRPr="005B0380">
        <w:rPr>
          <w:rFonts w:ascii="Times New Roman" w:hAnsi="Times New Roman"/>
          <w:sz w:val="26"/>
          <w:szCs w:val="26"/>
        </w:rPr>
        <w:t xml:space="preserve"> </w:t>
      </w:r>
      <w:r w:rsidRPr="005B0380">
        <w:rPr>
          <w:rFonts w:ascii="Times New Roman" w:hAnsi="Times New Roman"/>
          <w:b/>
          <w:sz w:val="26"/>
          <w:szCs w:val="26"/>
        </w:rPr>
        <w:t>Доход от ценных бумаг и долей участия в коммерческих организациях</w:t>
      </w:r>
    </w:p>
    <w:p w:rsidR="00CB35CD" w:rsidRPr="005B0380" w:rsidRDefault="00CB35CD" w:rsidP="00CB35CD">
      <w:pPr>
        <w:pStyle w:val="a3"/>
        <w:tabs>
          <w:tab w:val="left" w:pos="1276"/>
        </w:tabs>
        <w:ind w:left="0"/>
        <w:rPr>
          <w:rFonts w:ascii="Times New Roman" w:hAnsi="Times New Roman"/>
          <w:b/>
          <w:sz w:val="26"/>
          <w:szCs w:val="26"/>
        </w:rPr>
      </w:pPr>
      <w:r w:rsidRPr="005B0380">
        <w:rPr>
          <w:rFonts w:ascii="Times New Roman" w:hAnsi="Times New Roman"/>
          <w:b/>
          <w:sz w:val="26"/>
          <w:szCs w:val="26"/>
        </w:rPr>
        <w:t>6. Иные доходы</w:t>
      </w:r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Так, например, в строке иные доходы могут быть указаны: 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государственная и негосударственная пенсии </w:t>
      </w:r>
      <w:r w:rsidRPr="005B0380">
        <w:rPr>
          <w:rFonts w:ascii="Times New Roman" w:hAnsi="Times New Roman" w:cs="Times New Roman"/>
          <w:sz w:val="26"/>
          <w:szCs w:val="26"/>
        </w:rPr>
        <w:t xml:space="preserve">(при этом разные виды </w:t>
      </w:r>
      <w:r w:rsidRPr="005B0380">
        <w:rPr>
          <w:rFonts w:ascii="Times New Roman" w:hAnsi="Times New Roman" w:cs="Times New Roman"/>
          <w:sz w:val="26"/>
          <w:szCs w:val="26"/>
        </w:rPr>
        <w:lastRenderedPageBreak/>
        <w:t>пенсий (по возрасту и пенсия военнослужащего) не следует суммировать)</w:t>
      </w:r>
      <w:r w:rsidRPr="005B0380">
        <w:rPr>
          <w:rStyle w:val="a4"/>
          <w:rFonts w:ascii="Times New Roman" w:hAnsi="Times New Roman" w:cs="Times New Roman"/>
          <w:sz w:val="26"/>
          <w:szCs w:val="26"/>
        </w:rPr>
        <w:t>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CB35CD" w:rsidRPr="005B0380" w:rsidRDefault="00CB35CD" w:rsidP="00CB35C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color w:val="auto"/>
          <w:sz w:val="26"/>
          <w:szCs w:val="26"/>
        </w:rPr>
      </w:pPr>
      <w:proofErr w:type="gramStart"/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все виды пособий (пособие </w:t>
      </w:r>
      <w:r w:rsidRPr="005B0380">
        <w:rPr>
          <w:sz w:val="26"/>
          <w:szCs w:val="26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 и др.</w:t>
      </w:r>
      <w:r w:rsidRPr="005B0380">
        <w:rPr>
          <w:color w:val="auto"/>
          <w:sz w:val="26"/>
          <w:szCs w:val="26"/>
        </w:rPr>
        <w:t xml:space="preserve">), если данные выплаты не были включены в справку по форме 2-НДФЛ, выдаваемую по месту службы (работы). </w:t>
      </w:r>
      <w:proofErr w:type="gramEnd"/>
    </w:p>
    <w:p w:rsidR="00CB35CD" w:rsidRDefault="00CB35CD" w:rsidP="00CB35CD">
      <w:pPr>
        <w:pStyle w:val="Default"/>
        <w:tabs>
          <w:tab w:val="left" w:pos="142"/>
          <w:tab w:val="left" w:pos="1134"/>
        </w:tabs>
        <w:rPr>
          <w:color w:val="auto"/>
          <w:sz w:val="26"/>
          <w:szCs w:val="26"/>
        </w:rPr>
      </w:pPr>
      <w:r w:rsidRPr="005B0380">
        <w:rPr>
          <w:color w:val="auto"/>
          <w:sz w:val="26"/>
          <w:szCs w:val="26"/>
        </w:rPr>
        <w:t xml:space="preserve"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5B0380">
        <w:rPr>
          <w:color w:val="auto"/>
          <w:sz w:val="26"/>
          <w:szCs w:val="26"/>
        </w:rPr>
        <w:t>период</w:t>
      </w:r>
      <w:proofErr w:type="gramEnd"/>
      <w:r w:rsidRPr="005B0380">
        <w:rPr>
          <w:color w:val="auto"/>
          <w:sz w:val="26"/>
          <w:szCs w:val="26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 (статья 3 Федерального закона от 29 декабря 2006 г. № 255-ФЗ </w:t>
      </w:r>
      <w:r w:rsidRPr="005B0380">
        <w:rPr>
          <w:sz w:val="26"/>
          <w:szCs w:val="26"/>
        </w:rPr>
        <w:t>"</w:t>
      </w:r>
      <w:r w:rsidRPr="005B0380">
        <w:rPr>
          <w:color w:val="auto"/>
          <w:sz w:val="26"/>
          <w:szCs w:val="26"/>
        </w:rPr>
        <w:t xml:space="preserve">Об обязательном социальном </w:t>
      </w:r>
      <w:proofErr w:type="gramStart"/>
      <w:r w:rsidRPr="005B0380">
        <w:rPr>
          <w:color w:val="auto"/>
          <w:sz w:val="26"/>
          <w:szCs w:val="26"/>
        </w:rPr>
        <w:t>страховании</w:t>
      </w:r>
      <w:proofErr w:type="gramEnd"/>
      <w:r w:rsidRPr="005B0380">
        <w:rPr>
          <w:color w:val="auto"/>
          <w:sz w:val="26"/>
          <w:szCs w:val="26"/>
        </w:rPr>
        <w:t xml:space="preserve"> на случай временной нетрудоспособности и в связи с материнством</w:t>
      </w:r>
      <w:r w:rsidRPr="005B0380">
        <w:rPr>
          <w:sz w:val="26"/>
          <w:szCs w:val="26"/>
        </w:rPr>
        <w:t>"</w:t>
      </w:r>
      <w:r w:rsidRPr="005B0380">
        <w:rPr>
          <w:color w:val="auto"/>
          <w:sz w:val="26"/>
          <w:szCs w:val="26"/>
        </w:rPr>
        <w:t>).</w:t>
      </w:r>
    </w:p>
    <w:p w:rsidR="00CB35CD" w:rsidRPr="00B63D3F" w:rsidRDefault="00CB35CD" w:rsidP="00CB35CD">
      <w:pPr>
        <w:pStyle w:val="Default"/>
        <w:tabs>
          <w:tab w:val="left" w:pos="142"/>
          <w:tab w:val="left" w:pos="1134"/>
        </w:tabs>
        <w:rPr>
          <w:b/>
          <w:color w:val="auto"/>
          <w:sz w:val="26"/>
          <w:szCs w:val="26"/>
        </w:rPr>
      </w:pPr>
      <w:r w:rsidRPr="00B63D3F">
        <w:rPr>
          <w:b/>
          <w:color w:val="auto"/>
          <w:sz w:val="26"/>
          <w:szCs w:val="26"/>
        </w:rPr>
        <w:t xml:space="preserve">Для указания данных выплат необходимо зайти на сайт </w:t>
      </w:r>
      <w:hyperlink r:id="rId11" w:history="1">
        <w:r w:rsidRPr="00B63D3F">
          <w:rPr>
            <w:rStyle w:val="a6"/>
            <w:b/>
            <w:sz w:val="26"/>
            <w:szCs w:val="26"/>
          </w:rPr>
          <w:t>https://lk.fss.ru/</w:t>
        </w:r>
      </w:hyperlink>
      <w:r w:rsidRPr="00B63D3F">
        <w:rPr>
          <w:b/>
          <w:color w:val="auto"/>
          <w:sz w:val="26"/>
          <w:szCs w:val="26"/>
        </w:rPr>
        <w:t>, выполнить вход через «Госуслуги», сформировать запрос во вкладке «Запросы в Фонд» - «Справки о пособиях 2-НДФЛ».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>государственный сертификат на материнский (семейный)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>суммы, причитающиеся ребенку в качестве алиментов (за исключением алиментов, выплачиваемых в браке, кроме случая, предусмотренного пунктом 30 Методических рекомендаций – при невозможности по объективным причинам представить сведения на супругу (супруга) и (или) несовершеннолетних детей), пенсий, пособий (данные средства указываются в справке одного из родителей). В случае</w:t>
      </w:r>
      <w:proofErr w:type="gramStart"/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"Иные доходы" раздела 1 справки и в разделе 4  справки;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>стипендия;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на банковский счет служащего; </w:t>
      </w:r>
      <w:proofErr w:type="gramStart"/>
      <w:r w:rsidRPr="005B0380">
        <w:rPr>
          <w:rFonts w:ascii="Times New Roman" w:hAnsi="Times New Roman"/>
          <w:sz w:val="26"/>
          <w:szCs w:val="26"/>
        </w:rPr>
        <w:t xml:space="preserve">или иного физического (юридического) лица в соответствии с нормативным правовым актом Российской Федерации) и иные аналогичные выплаты, например денежные средства, полученные участником </w:t>
      </w:r>
      <w:proofErr w:type="spellStart"/>
      <w:r w:rsidRPr="005B0380">
        <w:rPr>
          <w:rFonts w:ascii="Times New Roman" w:hAnsi="Times New Roman"/>
          <w:sz w:val="26"/>
          <w:szCs w:val="26"/>
        </w:rPr>
        <w:t>накопительно</w:t>
      </w:r>
      <w:proofErr w:type="spellEnd"/>
      <w:r w:rsidRPr="005B0380">
        <w:rPr>
          <w:rFonts w:ascii="Times New Roman" w:hAnsi="Times New Roman"/>
          <w:sz w:val="26"/>
          <w:szCs w:val="26"/>
        </w:rPr>
        <w:t>-ипотечной системы жилищного обеспечения военнослужащих (</w:t>
      </w:r>
      <w:r w:rsidRPr="005B0380">
        <w:rPr>
          <w:rFonts w:ascii="Times New Roman" w:hAnsi="Times New Roman"/>
          <w:color w:val="000000"/>
          <w:sz w:val="26"/>
          <w:szCs w:val="26"/>
        </w:rPr>
        <w:t xml:space="preserve">данный </w:t>
      </w:r>
      <w:proofErr w:type="spellStart"/>
      <w:r w:rsidRPr="005B0380">
        <w:rPr>
          <w:rFonts w:ascii="Times New Roman" w:hAnsi="Times New Roman"/>
          <w:color w:val="000000"/>
          <w:sz w:val="26"/>
          <w:szCs w:val="26"/>
        </w:rPr>
        <w:t>займ</w:t>
      </w:r>
      <w:proofErr w:type="spellEnd"/>
      <w:r w:rsidRPr="005B0380">
        <w:rPr>
          <w:rFonts w:ascii="Times New Roman" w:hAnsi="Times New Roman"/>
          <w:color w:val="000000"/>
          <w:sz w:val="26"/>
          <w:szCs w:val="26"/>
        </w:rPr>
        <w:t xml:space="preserve"> не подлежит возврату и указывается в разделе 1 справки как доход, в случае если, общая продолжительность военной службы, в том числе в льготном исчислении, у военнослужащего составила более двадцати лет, либо</w:t>
      </w:r>
      <w:proofErr w:type="gramEnd"/>
      <w:r w:rsidRPr="005B0380">
        <w:rPr>
          <w:rFonts w:ascii="Times New Roman" w:hAnsi="Times New Roman"/>
          <w:color w:val="000000"/>
          <w:sz w:val="26"/>
          <w:szCs w:val="26"/>
        </w:rPr>
        <w:t xml:space="preserve"> при его увольнении по </w:t>
      </w:r>
      <w:r w:rsidRPr="005B0380">
        <w:rPr>
          <w:rFonts w:ascii="Times New Roman" w:hAnsi="Times New Roman"/>
          <w:color w:val="000000"/>
          <w:sz w:val="26"/>
          <w:szCs w:val="26"/>
        </w:rPr>
        <w:lastRenderedPageBreak/>
        <w:t xml:space="preserve">состоянию здоровья – в связи с признанием военно-врачебной комиссией не годным к военной службе при наличии выслуги десяти лет и более. </w:t>
      </w:r>
      <w:proofErr w:type="gramStart"/>
      <w:r w:rsidRPr="005B0380">
        <w:rPr>
          <w:rFonts w:ascii="Times New Roman" w:hAnsi="Times New Roman"/>
          <w:color w:val="000000"/>
          <w:sz w:val="26"/>
          <w:szCs w:val="26"/>
        </w:rPr>
        <w:t xml:space="preserve">В иных случаях </w:t>
      </w:r>
      <w:proofErr w:type="spellStart"/>
      <w:r w:rsidRPr="005B0380">
        <w:rPr>
          <w:rFonts w:ascii="Times New Roman" w:hAnsi="Times New Roman"/>
          <w:color w:val="000000"/>
          <w:sz w:val="26"/>
          <w:szCs w:val="26"/>
        </w:rPr>
        <w:t>займ</w:t>
      </w:r>
      <w:proofErr w:type="spellEnd"/>
      <w:r w:rsidRPr="005B0380">
        <w:rPr>
          <w:rFonts w:ascii="Times New Roman" w:hAnsi="Times New Roman"/>
          <w:color w:val="000000"/>
          <w:sz w:val="26"/>
          <w:szCs w:val="26"/>
        </w:rPr>
        <w:t xml:space="preserve"> подлежит возврату и указывается в подразделе 6.2 раздела 6 справки, например, при увольнении военнослужащего при отсутствии выслуги двадцати лет (при условии отсутствия соответствующих заболеваний))</w:t>
      </w:r>
      <w:r w:rsidRPr="005B0380">
        <w:rPr>
          <w:rFonts w:ascii="Times New Roman" w:hAnsi="Times New Roman"/>
          <w:sz w:val="26"/>
          <w:szCs w:val="26"/>
        </w:rPr>
        <w:t>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 (работника) либо его супруги (супруга) перечислены денежные средства</w:t>
      </w:r>
      <w:proofErr w:type="gramEnd"/>
      <w:r w:rsidRPr="005B0380">
        <w:rPr>
          <w:rFonts w:ascii="Times New Roman" w:hAnsi="Times New Roman"/>
          <w:sz w:val="26"/>
          <w:szCs w:val="26"/>
        </w:rPr>
        <w:t xml:space="preserve"> данной выплаты); 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5B0380">
        <w:rPr>
          <w:rStyle w:val="a4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или иным родственникам. </w:t>
      </w:r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В случае продажи в отчетном периоде нескольких объектов имущества информация о доходе от реализации каждого объекта указывается отдельным значением. </w:t>
      </w: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>Доход от реализации имущества указывается в полном объеме без вычета "комиссионных" и иных подобных выплат.</w:t>
      </w:r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При этом </w:t>
      </w: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рекомендуется </w:t>
      </w: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Pr="005B0380">
        <w:rPr>
          <w:rFonts w:ascii="Times New Roman" w:hAnsi="Times New Roman" w:cs="Times New Roman"/>
          <w:sz w:val="26"/>
          <w:szCs w:val="26"/>
        </w:rPr>
        <w:t xml:space="preserve">зачета стоимости старого транспортного средства в стоимость при покупке нового по договорам "трейд-ин"). Например, служащий (работник), член его семьи приобрел в отчетном году в автосалоне новый автомобиль за 900 000 руб., при этом в ходе покупки автосалон оценил имевшийся у служащего (работника), члена его семьи старый автомобиль в 300 000 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Pr="005B0380">
        <w:rPr>
          <w:rFonts w:ascii="Times New Roman" w:hAnsi="Times New Roman" w:cs="Times New Roman"/>
          <w:sz w:val="26"/>
          <w:szCs w:val="26"/>
        </w:rPr>
        <w:t>Сумма в размере 300 000 руб. является доходом и подлежит указанию в строке "Иные доходы");</w:t>
      </w:r>
      <w:proofErr w:type="gramEnd"/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>В случае продажи мелкого имущества (предметы обычной домашней обстановки, обихода и т.д.) рекомендуется указывать совокупный доход от их реализации.</w:t>
      </w:r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>В ситуации продажи имущества, находящегося в долевой собственности, доход указывается в соответствии с договором купли-продажи. Если в рассматриваемом договоре в качестве "продавца" указано два (или более) лица без разделения причитающихся им сумм, то отражаются денежные средства с учетом принадлежащих данным лицам долей (несмотря на порядок перечисления денежных средств покупателем продавцу).</w:t>
      </w:r>
    </w:p>
    <w:p w:rsidR="00CB35CD" w:rsidRPr="005B0380" w:rsidRDefault="00CB35CD" w:rsidP="00CB35CD">
      <w:pPr>
        <w:pStyle w:val="a5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>Аналогично в отношении продажи имущества, находящегося в совместной собственности.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71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sz w:val="26"/>
          <w:szCs w:val="26"/>
        </w:rPr>
      </w:pPr>
      <w:proofErr w:type="gramStart"/>
      <w:r w:rsidRPr="005B0380">
        <w:rPr>
          <w:rStyle w:val="a4"/>
          <w:rFonts w:ascii="Times New Roman" w:hAnsi="Times New Roman" w:cs="Times New Roman"/>
          <w:sz w:val="26"/>
          <w:szCs w:val="26"/>
        </w:rPr>
        <w:t>д</w:t>
      </w:r>
      <w:proofErr w:type="gramEnd"/>
      <w:r w:rsidRPr="005B0380">
        <w:rPr>
          <w:rStyle w:val="a4"/>
          <w:rFonts w:ascii="Times New Roman" w:hAnsi="Times New Roman" w:cs="Times New Roman"/>
          <w:sz w:val="26"/>
          <w:szCs w:val="26"/>
        </w:rPr>
        <w:t>оходы от продажи цифрового финансового актива, цифровых прав и цифровой валюты (дополнительно указываются дата отчуждения, сведения об операторе информационной системы (инвестиционной платформы) и вид цифровой валюты);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sz w:val="26"/>
          <w:szCs w:val="26"/>
          <w:shd w:val="clear" w:color="auto" w:fill="FFFFFF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доходы по трудовым договорам по совместительству. </w:t>
      </w:r>
      <w:r w:rsidRPr="005B0380">
        <w:rPr>
          <w:rStyle w:val="11"/>
          <w:rFonts w:ascii="Times New Roman" w:hAnsi="Times New Roman"/>
          <w:color w:val="000000"/>
          <w:sz w:val="26"/>
          <w:szCs w:val="26"/>
        </w:rPr>
        <w:t xml:space="preserve">При этом рекомендуется указать наименование и </w:t>
      </w:r>
      <w:r w:rsidRPr="005B0380">
        <w:rPr>
          <w:rFonts w:ascii="Times New Roman" w:hAnsi="Times New Roman" w:cs="Times New Roman"/>
          <w:sz w:val="26"/>
          <w:szCs w:val="26"/>
        </w:rPr>
        <w:t xml:space="preserve">адрес места нахождения </w:t>
      </w:r>
      <w:r w:rsidRPr="005B0380">
        <w:rPr>
          <w:rStyle w:val="11"/>
          <w:rFonts w:ascii="Times New Roman" w:hAnsi="Times New Roman"/>
          <w:color w:val="000000"/>
          <w:sz w:val="26"/>
          <w:szCs w:val="26"/>
        </w:rPr>
        <w:t xml:space="preserve">организации, от </w:t>
      </w:r>
      <w:r w:rsidRPr="005B0380">
        <w:rPr>
          <w:rStyle w:val="11"/>
          <w:rFonts w:ascii="Times New Roman" w:hAnsi="Times New Roman"/>
          <w:color w:val="000000"/>
          <w:sz w:val="26"/>
          <w:szCs w:val="26"/>
        </w:rPr>
        <w:lastRenderedPageBreak/>
        <w:t xml:space="preserve">которой был получен доход; 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sz w:val="26"/>
          <w:szCs w:val="26"/>
          <w:shd w:val="clear" w:color="auto" w:fill="FFFFFF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>денежные средства, полученные в виде процентов при погашении сберегательных сертификатов, если они не указаны в строке "Доход от ценных бумаг и долей участия в коммерческих организациях";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color w:val="000000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sz w:val="26"/>
          <w:szCs w:val="26"/>
        </w:rPr>
        <w:t xml:space="preserve">вознаграждения по гражданско-правовым договорам, если данный доход не указан в иных строках настоящего раздела справки. </w:t>
      </w:r>
      <w:r w:rsidRPr="005B0380">
        <w:rPr>
          <w:rStyle w:val="11"/>
          <w:rFonts w:ascii="Times New Roman" w:hAnsi="Times New Roman"/>
          <w:color w:val="000000"/>
          <w:sz w:val="26"/>
          <w:szCs w:val="26"/>
        </w:rPr>
        <w:t xml:space="preserve">При этом рекомендуется указать наименование и </w:t>
      </w:r>
      <w:r w:rsidRPr="005B0380">
        <w:rPr>
          <w:rFonts w:ascii="Times New Roman" w:hAnsi="Times New Roman" w:cs="Times New Roman"/>
          <w:sz w:val="26"/>
          <w:szCs w:val="26"/>
        </w:rPr>
        <w:t xml:space="preserve">адрес места нахождения </w:t>
      </w:r>
      <w:r w:rsidRPr="005B0380">
        <w:rPr>
          <w:rStyle w:val="11"/>
          <w:rFonts w:ascii="Times New Roman" w:hAnsi="Times New Roman"/>
          <w:color w:val="000000"/>
          <w:sz w:val="26"/>
          <w:szCs w:val="26"/>
        </w:rPr>
        <w:t xml:space="preserve">организации, от которой был получен доход; 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03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5B038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5B0380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строке "Иное недвижимое имущество" подраздела 3.1 раздела 3 справки);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5B03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проценты по долговым обязательствам;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B0380">
        <w:rPr>
          <w:rFonts w:ascii="Times New Roman" w:hAnsi="Times New Roman" w:cs="Times New Roman"/>
          <w:sz w:val="26"/>
          <w:szCs w:val="26"/>
        </w:rPr>
        <w:t>денежные средства, полученные в порядке дарения или наследования;</w:t>
      </w:r>
    </w:p>
    <w:p w:rsidR="00CB35CD" w:rsidRPr="005B0380" w:rsidRDefault="00CB35CD" w:rsidP="00CB35CD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5B0380">
        <w:rPr>
          <w:sz w:val="26"/>
          <w:szCs w:val="26"/>
        </w:rPr>
        <w:t xml:space="preserve">возмещение вреда, причиненного увечьем или иным повреждением здоровья; </w:t>
      </w:r>
    </w:p>
    <w:p w:rsidR="00CB35CD" w:rsidRPr="005B0380" w:rsidRDefault="00CB35CD" w:rsidP="00CB35CD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5B0380">
        <w:rPr>
          <w:sz w:val="26"/>
          <w:szCs w:val="26"/>
        </w:rPr>
        <w:t xml:space="preserve">выплаты, связанные с гибелью (смертью), выплаченные наследникам; 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 xml:space="preserve">выплаты денежных сумм, осуществленные на основании договоров страхования. </w:t>
      </w:r>
      <w:proofErr w:type="gramStart"/>
      <w:r w:rsidRPr="005B0380">
        <w:rPr>
          <w:rFonts w:ascii="Times New Roman" w:hAnsi="Times New Roman"/>
          <w:sz w:val="26"/>
          <w:szCs w:val="26"/>
        </w:rPr>
        <w:t>При этом в отношении договоров страхования, поименованных в подпункте 3 пункта 182 настоящих Методических рекомендаций, доходом является положительный результат (разница между выплаченными в результате прекращения таких договоров страхования денежными суммами и уплаченными страховыми премиями (взносами) (в отношении каждого договора отдельно));</w:t>
      </w:r>
      <w:proofErr w:type="gramEnd"/>
    </w:p>
    <w:p w:rsidR="00CB35CD" w:rsidRPr="005B0380" w:rsidRDefault="00CB35CD" w:rsidP="00CB35CD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709"/>
        <w:rPr>
          <w:color w:val="auto"/>
          <w:sz w:val="26"/>
          <w:szCs w:val="26"/>
        </w:rPr>
      </w:pPr>
      <w:proofErr w:type="gramStart"/>
      <w:r w:rsidRPr="005B0380">
        <w:rPr>
          <w:color w:val="auto"/>
          <w:sz w:val="26"/>
          <w:szCs w:val="26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по форме 2-НДФЛ по месту службы (работы) и не отражены в строке "Доход по основному месту работы"; </w:t>
      </w:r>
      <w:proofErr w:type="gramEnd"/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CB35CD" w:rsidRPr="005B0380" w:rsidRDefault="00CB35CD" w:rsidP="00CB35C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5B0380">
        <w:rPr>
          <w:sz w:val="26"/>
          <w:szCs w:val="26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(зачисления на банковский счет денежных средств) вместо представляемых путевок без последующего</w:t>
      </w:r>
      <w:proofErr w:type="gramEnd"/>
      <w:r w:rsidRPr="005B0380">
        <w:rPr>
          <w:sz w:val="26"/>
          <w:szCs w:val="26"/>
        </w:rPr>
        <w:t xml:space="preserve"> представления отчета об их использовании и др.; </w:t>
      </w:r>
    </w:p>
    <w:p w:rsidR="00CB35CD" w:rsidRPr="005B0380" w:rsidRDefault="00CB35CD" w:rsidP="00CB35C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sz w:val="26"/>
          <w:szCs w:val="26"/>
        </w:rPr>
      </w:pPr>
      <w:r w:rsidRPr="005B0380">
        <w:rPr>
          <w:sz w:val="26"/>
          <w:szCs w:val="26"/>
        </w:rPr>
        <w:t>суммы полной или частичной компенсации служащим (работникам) и (или) членам их семей товара, работы и (или) услуги в виде выдачи наличных денежных средств (зачисления на банковский счет денежных средств) вместо предоставления соответствующих товаров, работ и (или) услуг без последующего представления отчета о целевом использовании компенсации;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5B038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меры государственной поддержки семей, имеющих детей, в целях создания условий для погашения обязательств по ипотечным жилищным кредитам (займам); 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5B0380">
        <w:rPr>
          <w:rFonts w:ascii="Times New Roman" w:hAnsi="Times New Roman"/>
          <w:sz w:val="26"/>
          <w:szCs w:val="26"/>
        </w:rPr>
        <w:t>компенсационные выплаты служащему (работнику), его супруге (супругу) (например, неработающему трудоспособному лицу, осуществляющему уход за инвалидом, за престарелым, и др.);</w:t>
      </w:r>
      <w:proofErr w:type="gramEnd"/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142"/>
          <w:tab w:val="left" w:pos="1276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>выигрыши в лотереях, букмекерских конторах, тотализаторах, конкурсах и иных играх (при этом расходы, например ставка, не учитываются и не подлежат вычитанию из сумм выигрышей);</w:t>
      </w:r>
    </w:p>
    <w:p w:rsidR="00CB35CD" w:rsidRPr="005B0380" w:rsidRDefault="00CB35CD" w:rsidP="00CB35CD">
      <w:pPr>
        <w:pStyle w:val="a5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0380">
        <w:rPr>
          <w:rFonts w:ascii="Times New Roman" w:hAnsi="Times New Roman" w:cs="Times New Roman"/>
          <w:sz w:val="26"/>
          <w:szCs w:val="26"/>
        </w:rPr>
        <w:t>выплаты членам профсоюзных организаций, полученные от данных профсоюзных организаций;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</w:t>
      </w: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 w:rsidRPr="005B0380">
        <w:rPr>
          <w:rFonts w:ascii="Times New Roman" w:hAnsi="Times New Roman"/>
          <w:sz w:val="26"/>
          <w:szCs w:val="26"/>
        </w:rPr>
        <w:t>Доход от педагогической и научной деятельности</w:t>
      </w: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 w:rsidRPr="005B0380">
        <w:rPr>
          <w:rFonts w:ascii="Times New Roman" w:hAnsi="Times New Roman"/>
          <w:sz w:val="26"/>
          <w:szCs w:val="26"/>
        </w:rPr>
        <w:t xml:space="preserve"> раздела 1 справки, результаты иной творческой деятельности – в строке </w:t>
      </w: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 w:rsidRPr="005B0380">
        <w:rPr>
          <w:rFonts w:ascii="Times New Roman" w:hAnsi="Times New Roman"/>
          <w:sz w:val="26"/>
          <w:szCs w:val="26"/>
        </w:rPr>
        <w:t>Доход от иной творческой деятельности</w:t>
      </w: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 w:rsidRPr="005B0380">
        <w:rPr>
          <w:rFonts w:ascii="Times New Roman" w:hAnsi="Times New Roman"/>
          <w:sz w:val="26"/>
          <w:szCs w:val="26"/>
        </w:rPr>
        <w:t xml:space="preserve"> указанного раздела справки;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вознаграждение, полученное при осуществлении опеки или попечительства на возмездной основе;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доход, полученный индивидуальным предпринимателем (указывается согласно бухгалтерской (финансовой) отчетности или в соответствии с пунктом 43 настоящих Методических рекомендаций);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5B0380">
        <w:rPr>
          <w:rFonts w:ascii="Times New Roman" w:hAnsi="Times New Roman"/>
          <w:sz w:val="26"/>
          <w:szCs w:val="26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 по форме 2-НДФЛ, полученную по основному месту службы (работы);</w:t>
      </w:r>
      <w:proofErr w:type="gramEnd"/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денежные средства, полученные в качестве оплаты услуг или товаров, в том числе в качестве авансового платежа;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денежные средства, полученные от родственников (за исключением супруги (супруга) и несовершеннолетних детей</w:t>
      </w:r>
      <w:r w:rsidRPr="005B038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кроме случая, предусмотренного пунктом 30 Методических рекомендаций – при невозможности по объективным причинам представить сведения на супругу (супруга) и (или) несовершеннолетних детей</w:t>
      </w:r>
      <w:r w:rsidRPr="005B0380">
        <w:rPr>
          <w:rFonts w:ascii="Times New Roman" w:hAnsi="Times New Roman"/>
          <w:sz w:val="26"/>
          <w:szCs w:val="26"/>
        </w:rPr>
        <w:t>) и третьих лиц на невозвратной основе;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доход, полученный по договорам переуступки прав требования на строящиеся объекты недвижимости;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денежные средства, полученные в качестве неустойки за неисполнение или ненадлежащее исполнение обязательства, в частности в случае просрочки исполнения, возмещения вреда, в том числе морального;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выплаченная ликвидационная стоимость ценных бумаг при ликвидации коммерческой организации;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денежные средства, полученные в связи с прощением долга (в том числе частичным) служащему (работнику), его супруге (супругу) или несовершеннолетним детям;</w:t>
      </w:r>
    </w:p>
    <w:p w:rsidR="00CB35CD" w:rsidRPr="005B0380" w:rsidRDefault="00CB35CD" w:rsidP="00CB35CD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5B0380">
        <w:rPr>
          <w:rFonts w:ascii="Times New Roman" w:hAnsi="Times New Roman"/>
          <w:sz w:val="26"/>
          <w:szCs w:val="26"/>
        </w:rPr>
        <w:t>иные аналогичные выплаты.</w:t>
      </w:r>
    </w:p>
    <w:p w:rsidR="00CB35CD" w:rsidRPr="00B84C36" w:rsidRDefault="00CB35CD" w:rsidP="00CB35CD">
      <w:pPr>
        <w:pStyle w:val="a3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4C3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Также в строке "Иные доходы" подлежат отражению меры поддержки, предусмотренные нормативными правовыми актами Президента Российской Федерации и Правительства Российской Федерации, например, следующие: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 xml:space="preserve">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г. № 199; 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дополнительная государственная гарантия отдельным категориям граждан в соответствии с Указом Президента Российской Федерации от 1 февраля 2021 г. № 60;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единовременная выплата семьям, имеющим детей, в соответствии с Указом Президента Российской Федерации от 2 июля 2021 г. № 396;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единовременная денежная выплата гражданам, получающим пенсию, в соответствии с Указом Президента Российской Федерации от 24 августа 2021 г. № 486;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единовременная денежная выплата отдельным категориям граждан, получающих пенсию, в соответствии с Указом Президента Российской Федерации от 24 августа 2021 г. № 487;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единовременная денежная выплата отдельным категориям военнослужащих в соответствии с Указом Президента Российской Федерации от 30 августа 2021 г. № 502;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единовременная денежная выплата лицам, проходящим службу в некоторых федеральных государственных органах, в соответствии с Указом Президента Российской Федерации от 30 августа 2021 г. № 503;</w:t>
      </w:r>
    </w:p>
    <w:p w:rsidR="00CB35CD" w:rsidRPr="005B0380" w:rsidRDefault="00CB35CD" w:rsidP="00CB35C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/>
          <w:sz w:val="26"/>
          <w:szCs w:val="26"/>
          <w:lang w:eastAsia="ru-RU"/>
        </w:rPr>
        <w:t>ежемесячное пособие женщине, вставшей на учет в медицинской организации в ранние сроки беременности, и (или) ежемесячное пособие на ребенка в возрасте от 8 до 17 лет (единственному родителю) в соответствии с постановлением Правительства Российской Федерации от 28 июня 2021 г. № 1037.</w:t>
      </w:r>
    </w:p>
    <w:p w:rsidR="00CB35CD" w:rsidRPr="005B0380" w:rsidRDefault="00CB35CD" w:rsidP="00CB3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3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Отражению также подлежат меры аналогичные поддержки, предусмотренные нормативными правовыми актами субъектов Российской Федерации и муниципальными правовыми актами.</w:t>
      </w:r>
    </w:p>
    <w:p w:rsidR="00CB35CD" w:rsidRDefault="00CB35CD" w:rsidP="00CB35CD">
      <w:pPr>
        <w:pStyle w:val="a3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</w:p>
    <w:p w:rsidR="00CB35CD" w:rsidRDefault="00CB35CD" w:rsidP="00CB35CD">
      <w:pPr>
        <w:pStyle w:val="a3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104900"/>
            <wp:effectExtent l="0" t="0" r="0" b="0"/>
            <wp:wrapSquare wrapText="bothSides"/>
            <wp:docPr id="3" name="Рисунок 3" descr="Похоже, это техническая ошибка. попробуйте заплатить еще раз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, это техническая ошибка. попробуйте заплатить еще раз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5CD" w:rsidRDefault="00CB35CD" w:rsidP="00CB35CD">
      <w:pPr>
        <w:pStyle w:val="a3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</w:p>
    <w:p w:rsidR="00CB35CD" w:rsidRPr="00CB35CD" w:rsidRDefault="00CB35CD" w:rsidP="00CB35C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CB35CD">
        <w:rPr>
          <w:rFonts w:ascii="Times New Roman" w:hAnsi="Times New Roman"/>
          <w:b/>
          <w:i/>
          <w:sz w:val="26"/>
          <w:szCs w:val="26"/>
        </w:rPr>
        <w:t>СВЕДЕНИЯ О РАСХОДАХ</w:t>
      </w:r>
    </w:p>
    <w:p w:rsidR="00CB35CD" w:rsidRPr="0012059F" w:rsidRDefault="00CB35CD" w:rsidP="00CB35CD">
      <w:pPr>
        <w:pStyle w:val="a3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CB35CD" w:rsidRPr="00BD2A45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proofErr w:type="gramStart"/>
      <w:r w:rsidRPr="00BD2A45">
        <w:rPr>
          <w:rFonts w:ascii="Times New Roman" w:hAnsi="Times New Roman"/>
          <w:sz w:val="26"/>
          <w:szCs w:val="26"/>
        </w:rPr>
        <w:t xml:space="preserve">Данный раздел справки </w:t>
      </w:r>
      <w:r w:rsidRPr="00BD2A45">
        <w:rPr>
          <w:rFonts w:ascii="Times New Roman" w:hAnsi="Times New Roman"/>
          <w:b/>
          <w:sz w:val="26"/>
          <w:szCs w:val="26"/>
        </w:rPr>
        <w:t>заполняется только</w:t>
      </w:r>
      <w:r w:rsidRPr="00BD2A45">
        <w:rPr>
          <w:rFonts w:ascii="Times New Roman" w:hAnsi="Times New Roman"/>
          <w:sz w:val="26"/>
          <w:szCs w:val="26"/>
        </w:rPr>
        <w:t xml:space="preserve"> в случае, если в 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сумма расходов по такой сделке или общая сумма совершенных сделок</w:t>
      </w:r>
      <w:proofErr w:type="gramEnd"/>
      <w:r w:rsidRPr="00BD2A45">
        <w:rPr>
          <w:rFonts w:ascii="Times New Roman" w:hAnsi="Times New Roman"/>
          <w:sz w:val="26"/>
          <w:szCs w:val="26"/>
        </w:rPr>
        <w:t xml:space="preserve"> превышает общий доход данного лица и его супруги (супруга) за три последних года, предшествующих отчетному периоду. При представлении сведений в 2022 году сообщаются сведения о расходах по сделкам, совершенным в 2021 году.</w:t>
      </w:r>
    </w:p>
    <w:p w:rsidR="00CB35CD" w:rsidRPr="00BD2A45" w:rsidRDefault="00CB35CD" w:rsidP="00CB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A45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приобретения служащим (работником) и его супругой (супругом) соответствующего объекта имущества в долевую собственность (не определен единственный покупатель в </w:t>
      </w:r>
      <w:proofErr w:type="gramStart"/>
      <w:r w:rsidRPr="00BD2A45">
        <w:rPr>
          <w:rFonts w:ascii="Times New Roman" w:hAnsi="Times New Roman" w:cs="Times New Roman"/>
          <w:sz w:val="26"/>
          <w:szCs w:val="26"/>
        </w:rPr>
        <w:t xml:space="preserve">договоре) </w:t>
      </w:r>
      <w:proofErr w:type="gramEnd"/>
      <w:r w:rsidRPr="00BD2A45">
        <w:rPr>
          <w:rFonts w:ascii="Times New Roman" w:hAnsi="Times New Roman" w:cs="Times New Roman"/>
          <w:sz w:val="26"/>
          <w:szCs w:val="26"/>
        </w:rPr>
        <w:t xml:space="preserve">данный раздел заполняется в справках обоих лиц (аналогично в отношении несовершеннолетних детей). При этом в графе "Сумма сделки" применимых справок рекомендуется указывать полную стоимость. </w:t>
      </w:r>
    </w:p>
    <w:p w:rsidR="00CB35CD" w:rsidRPr="00BD2A45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BD2A45">
        <w:rPr>
          <w:rFonts w:ascii="Times New Roman" w:hAnsi="Times New Roman"/>
          <w:sz w:val="26"/>
          <w:szCs w:val="26"/>
        </w:rPr>
        <w:t>При заполнении графы "</w:t>
      </w:r>
      <w:r w:rsidRPr="00BD2A45">
        <w:rPr>
          <w:rFonts w:ascii="Times New Roman" w:hAnsi="Times New Roman"/>
          <w:b/>
          <w:sz w:val="26"/>
          <w:szCs w:val="26"/>
        </w:rPr>
        <w:t>Источник получения средств, за счет которых приобретено имущество</w:t>
      </w:r>
      <w:r w:rsidRPr="00BD2A45">
        <w:rPr>
          <w:rFonts w:ascii="Times New Roman" w:hAnsi="Times New Roman"/>
          <w:sz w:val="26"/>
          <w:szCs w:val="26"/>
        </w:rPr>
        <w:t>"</w:t>
      </w:r>
      <w:r w:rsidRPr="00BD2A45">
        <w:rPr>
          <w:rFonts w:ascii="Times New Roman" w:hAnsi="Times New Roman"/>
          <w:b/>
          <w:sz w:val="26"/>
          <w:szCs w:val="26"/>
        </w:rPr>
        <w:t xml:space="preserve"> </w:t>
      </w:r>
      <w:r w:rsidRPr="00BD2A45">
        <w:rPr>
          <w:rFonts w:ascii="Times New Roman" w:hAnsi="Times New Roman"/>
          <w:sz w:val="26"/>
          <w:szCs w:val="26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CB35CD" w:rsidRPr="00BD2A45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BD2A45">
        <w:rPr>
          <w:rFonts w:ascii="Times New Roman" w:hAnsi="Times New Roman"/>
          <w:sz w:val="26"/>
          <w:szCs w:val="26"/>
        </w:rPr>
        <w:t>Источниками получения средств, за счет которых приобретено имущество,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CB35CD" w:rsidRPr="00BD2A45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BD2A45">
        <w:rPr>
          <w:rFonts w:ascii="Times New Roman" w:hAnsi="Times New Roman"/>
          <w:sz w:val="26"/>
          <w:szCs w:val="26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CB35CD" w:rsidRPr="0012059F" w:rsidRDefault="00CB35CD" w:rsidP="00CB35CD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CB35CD" w:rsidRDefault="00CB35CD" w:rsidP="00CB35CD">
      <w:pPr>
        <w:rPr>
          <w:rStyle w:val="a4"/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0550" cy="1314450"/>
            <wp:effectExtent l="0" t="0" r="6350" b="0"/>
            <wp:wrapSquare wrapText="bothSides"/>
            <wp:docPr id="4" name="Рисунок 4" descr="Тарифы на валютные счета Альфа-Ба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рифы на валютные счета Альфа-Банка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5CD" w:rsidRPr="00CB35CD" w:rsidRDefault="00CB35CD" w:rsidP="00CB35CD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CB35CD">
        <w:rPr>
          <w:rFonts w:ascii="Times New Roman" w:hAnsi="Times New Roman"/>
          <w:b/>
          <w:i/>
          <w:sz w:val="24"/>
          <w:szCs w:val="28"/>
        </w:rPr>
        <w:t>СВЕДЕНИЯ О СЧЕТАХ В БАНКАХ И ИНЫХ КРЕДИТНЫХ ОРГАНИЗАЦИЯХ</w:t>
      </w:r>
    </w:p>
    <w:p w:rsidR="00CB35CD" w:rsidRDefault="00CB35CD" w:rsidP="00CB35CD">
      <w:pPr>
        <w:rPr>
          <w:rStyle w:val="a4"/>
          <w:rFonts w:ascii="Times New Roman" w:hAnsi="Times New Roman"/>
          <w:sz w:val="24"/>
          <w:szCs w:val="28"/>
        </w:rPr>
      </w:pPr>
    </w:p>
    <w:p w:rsidR="00CB35CD" w:rsidRDefault="00CB35CD" w:rsidP="00CB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/>
          <w:sz w:val="24"/>
          <w:szCs w:val="28"/>
        </w:rPr>
        <w:br w:type="textWrapping" w:clear="all"/>
      </w:r>
    </w:p>
    <w:p w:rsidR="00CB35CD" w:rsidRPr="00CB35CD" w:rsidRDefault="00CB35CD" w:rsidP="00CB35CD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8"/>
          <w:shd w:val="clear" w:color="auto" w:fill="FFFFFF"/>
        </w:rPr>
      </w:pPr>
      <w:r w:rsidRPr="003C6364">
        <w:rPr>
          <w:rFonts w:ascii="Times New Roman" w:hAnsi="Times New Roman" w:cs="Times New Roman"/>
          <w:sz w:val="26"/>
          <w:szCs w:val="26"/>
        </w:rPr>
        <w:t xml:space="preserve">В данном разделе справки отражается информация обо всех счетах, открытых по состоянию на отчетную дату в банках и иных кредитных организациях: 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1) счета с нулевым остатком по состоянию на отчетную дату;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3) счета (вклады) в иностранных банках, расположенных за пределами Российской Федерации.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владельца счета;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5) счета, открытые для погашения кредита;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6) вклады (счета) в драгоценных металлах (в том числе указывается вид счета и металл, в котором он открыт);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lastRenderedPageBreak/>
        <w:t>7) счета, открытые гражданам, зарегистрированным в качестве индивидуальных предпринимателей.</w:t>
      </w:r>
      <w:r w:rsidRPr="003C636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При этом прилагать выписку о движении денежных средств по расчетному счету индивидуального предпринимателя не требуется</w:t>
      </w:r>
      <w:r w:rsidRPr="003C6364">
        <w:rPr>
          <w:rFonts w:ascii="Times New Roman" w:hAnsi="Times New Roman"/>
          <w:sz w:val="26"/>
          <w:szCs w:val="26"/>
        </w:rPr>
        <w:t>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8) номинальный счет;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 xml:space="preserve">9) счет </w:t>
      </w:r>
      <w:proofErr w:type="spellStart"/>
      <w:r w:rsidRPr="003C6364">
        <w:rPr>
          <w:rFonts w:ascii="Times New Roman" w:hAnsi="Times New Roman"/>
          <w:sz w:val="26"/>
          <w:szCs w:val="26"/>
        </w:rPr>
        <w:t>эскроу</w:t>
      </w:r>
      <w:proofErr w:type="spellEnd"/>
      <w:r w:rsidRPr="003C6364">
        <w:rPr>
          <w:rFonts w:ascii="Times New Roman" w:hAnsi="Times New Roman"/>
          <w:sz w:val="26"/>
          <w:szCs w:val="26"/>
        </w:rPr>
        <w:t>.</w:t>
      </w:r>
    </w:p>
    <w:p w:rsidR="00CB35CD" w:rsidRPr="003C6364" w:rsidRDefault="00CB35CD" w:rsidP="00CB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364">
        <w:rPr>
          <w:rFonts w:ascii="Times New Roman" w:hAnsi="Times New Roman" w:cs="Times New Roman"/>
          <w:sz w:val="26"/>
          <w:szCs w:val="26"/>
        </w:rPr>
        <w:t>Необходимо делать запросы в кредитные организации и пользоваться информацией, полученной в рамках указания Банка России №5798-У.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В графе "Наименование и адрес банка или иной кредитной организации" рекомендуется указывать адрес места нахождения (т.н. "юридический адрес") банка или иной кредитной организации, в котором был открыт соответствующий счет.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В графе "Вид и валюта счета" вид счета указывается с учетом норм Гражданского кодекса Российской Федерации, иных федеральных законов и Инструкции Банка России от 30 мая 2014 г. № 153-И "Об открытии и закрытии банковских счетов, счетов по вкладам (депозитам), депозитных счетов".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Физическим лицам открываются следующие счета: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eastAsia="Times New Roman" w:hAnsi="Times New Roman"/>
          <w:sz w:val="26"/>
          <w:szCs w:val="26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3C6364">
        <w:rPr>
          <w:rFonts w:ascii="Times New Roman" w:hAnsi="Times New Roman"/>
          <w:sz w:val="26"/>
          <w:szCs w:val="26"/>
        </w:rPr>
        <w:t xml:space="preserve">Счет такой карты, как правило, текущий. 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 xml:space="preserve">Счета по вкладу, в том числе по вкладам с наименованием "Классический", "Выгодный", "Комфортный" и др., как правило, являются счетами по вкладу (депозиту) и подлежат отражению в данном разделе как "Депозитный". </w:t>
      </w:r>
    </w:p>
    <w:p w:rsidR="00CB35CD" w:rsidRPr="003C6364" w:rsidRDefault="00CB35CD" w:rsidP="00CB35CD">
      <w:pPr>
        <w:pStyle w:val="a3"/>
        <w:ind w:left="0"/>
        <w:rPr>
          <w:rStyle w:val="a4"/>
          <w:rFonts w:ascii="Times New Roman" w:hAnsi="Times New Roman" w:cs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 xml:space="preserve">В графе "Дата открытия счета" </w:t>
      </w:r>
      <w:r w:rsidRPr="003C6364">
        <w:rPr>
          <w:rStyle w:val="a4"/>
          <w:rFonts w:ascii="Times New Roman" w:hAnsi="Times New Roman" w:cs="Times New Roman"/>
          <w:color w:val="000000"/>
          <w:sz w:val="26"/>
          <w:szCs w:val="26"/>
        </w:rPr>
        <w:t>не допускается указание даты выпуска (</w:t>
      </w:r>
      <w:proofErr w:type="spellStart"/>
      <w:r w:rsidRPr="003C6364">
        <w:rPr>
          <w:rStyle w:val="a4"/>
          <w:rFonts w:ascii="Times New Roman" w:hAnsi="Times New Roman" w:cs="Times New Roman"/>
          <w:color w:val="000000"/>
          <w:sz w:val="26"/>
          <w:szCs w:val="26"/>
        </w:rPr>
        <w:t>перевыпуска</w:t>
      </w:r>
      <w:proofErr w:type="spellEnd"/>
      <w:r w:rsidRPr="003C636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) платежной карты. </w:t>
      </w:r>
    </w:p>
    <w:p w:rsidR="00CB35CD" w:rsidRPr="003C6364" w:rsidRDefault="00CB35CD" w:rsidP="00CB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364">
        <w:rPr>
          <w:rFonts w:ascii="Times New Roman" w:hAnsi="Times New Roman" w:cs="Times New Roman"/>
          <w:sz w:val="26"/>
          <w:szCs w:val="26"/>
        </w:rPr>
        <w:t xml:space="preserve">Графа "Остаток на счете" заполняется по состоянию на отчетную дату. Графа "Сумма поступивших на счет денежных средств" заполняется </w:t>
      </w:r>
      <w:r w:rsidRPr="003C6364">
        <w:rPr>
          <w:rFonts w:ascii="Times New Roman" w:hAnsi="Times New Roman" w:cs="Times New Roman"/>
          <w:b/>
          <w:sz w:val="26"/>
          <w:szCs w:val="26"/>
        </w:rPr>
        <w:t>только</w:t>
      </w:r>
      <w:r w:rsidRPr="003C6364">
        <w:rPr>
          <w:rFonts w:ascii="Times New Roman" w:hAnsi="Times New Roman" w:cs="Times New Roman"/>
          <w:sz w:val="26"/>
          <w:szCs w:val="26"/>
        </w:rPr>
        <w:t xml:space="preserve"> в случае, если общая сумма денежных поступлений на отдельный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2022 году указывается общая сумма денежных средств, поступивших на конкретный счет в 2021 году, если эта сумма превышает общий доход служащего (работника) и его супруги (супруга) за 2019, 2020 и 2021 годы. В этом случае к справке прилагается выписка о движении денежных средств по данному счету за отчетный период. 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color w:val="000000"/>
          <w:sz w:val="26"/>
          <w:szCs w:val="26"/>
        </w:rPr>
        <w:t xml:space="preserve">Информация о наличии банковских счетов, открытых с 1 июля 2014 года, может быть получена в ФНС России. Информацией о ранее открытых счетах в банках (если такие счета не закрывались либо по ним не было изменений) налоговые органы не располагают. Порядок обращения за данными сведениями изложен на официальном сайте ФНС России по ссылке: </w:t>
      </w:r>
      <w:hyperlink r:id="rId14" w:history="1">
        <w:r w:rsidRPr="003C6364">
          <w:rPr>
            <w:rStyle w:val="a6"/>
            <w:rFonts w:ascii="Times New Roman" w:hAnsi="Times New Roman"/>
            <w:sz w:val="26"/>
            <w:szCs w:val="26"/>
          </w:rPr>
          <w:t>https://www.nalog.ru/rn77/related_activities/accounting/bank_account/</w:t>
        </w:r>
      </w:hyperlink>
      <w:r w:rsidRPr="003C6364">
        <w:rPr>
          <w:rFonts w:ascii="Times New Roman" w:hAnsi="Times New Roman"/>
          <w:sz w:val="26"/>
          <w:szCs w:val="26"/>
        </w:rPr>
        <w:t>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color w:val="000000"/>
          <w:sz w:val="26"/>
          <w:szCs w:val="26"/>
        </w:rPr>
      </w:pPr>
      <w:r w:rsidRPr="003C6364">
        <w:rPr>
          <w:rFonts w:ascii="Times New Roman" w:hAnsi="Times New Roman"/>
          <w:color w:val="000000"/>
          <w:sz w:val="26"/>
          <w:szCs w:val="26"/>
        </w:rPr>
        <w:lastRenderedPageBreak/>
        <w:t>Приоритет необходимо отдавать информации, полученной в рамках Указания Банка России № 5798-У.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3C6364">
        <w:rPr>
          <w:rFonts w:ascii="Times New Roman" w:hAnsi="Times New Roman"/>
          <w:sz w:val="26"/>
          <w:szCs w:val="26"/>
        </w:rPr>
        <w:t>,</w:t>
      </w:r>
      <w:proofErr w:type="gramEnd"/>
      <w:r w:rsidRPr="003C6364">
        <w:rPr>
          <w:rFonts w:ascii="Times New Roman" w:hAnsi="Times New Roman"/>
          <w:sz w:val="26"/>
          <w:szCs w:val="26"/>
        </w:rPr>
        <w:t xml:space="preserve"> если предоставленный кредит (израсходованный овердрафт) по расчетной (дебетовой) карте равен или превышает 500 000 руб., то возникшее в этой связи обязательство финансового характера необходимо указать в подразделе 6.2 раздела 6 справки.</w:t>
      </w:r>
    </w:p>
    <w:p w:rsidR="00CB35CD" w:rsidRPr="003C6364" w:rsidRDefault="00CB35CD" w:rsidP="00CB35CD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3C636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3C6364">
        <w:rPr>
          <w:rFonts w:ascii="Times New Roman" w:hAnsi="Times New Roman"/>
          <w:sz w:val="26"/>
          <w:szCs w:val="26"/>
        </w:rPr>
        <w:t>,</w:t>
      </w:r>
      <w:proofErr w:type="gramEnd"/>
      <w:r w:rsidRPr="003C6364">
        <w:rPr>
          <w:rFonts w:ascii="Times New Roman" w:hAnsi="Times New Roman"/>
          <w:sz w:val="26"/>
          <w:szCs w:val="26"/>
        </w:rPr>
        <w:t xml:space="preserve"> если расходный лимит кредитной карты равен или превышает 500 000 руб., то возникшее в этой связи обязательство финансового характера, равное или превышающее 500 000 руб., необходимо указать в подразделе 6.2 раздела 6 справки.</w:t>
      </w:r>
    </w:p>
    <w:p w:rsidR="00CB35CD" w:rsidRPr="0012059F" w:rsidRDefault="00CB35CD" w:rsidP="00CB35CD">
      <w:pPr>
        <w:ind w:left="710"/>
        <w:rPr>
          <w:rFonts w:ascii="Times New Roman" w:hAnsi="Times New Roman"/>
          <w:sz w:val="28"/>
          <w:szCs w:val="28"/>
        </w:rPr>
      </w:pPr>
    </w:p>
    <w:p w:rsidR="00CB35CD" w:rsidRPr="003C6364" w:rsidRDefault="00CB35CD" w:rsidP="00CB35CD">
      <w:pPr>
        <w:ind w:left="710"/>
        <w:rPr>
          <w:rFonts w:ascii="Times New Roman" w:hAnsi="Times New Roman"/>
          <w:sz w:val="28"/>
          <w:szCs w:val="28"/>
        </w:rPr>
      </w:pPr>
    </w:p>
    <w:p w:rsidR="00CB35CD" w:rsidRPr="0012059F" w:rsidRDefault="00CB35CD" w:rsidP="00CB35CD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CB35CD" w:rsidRPr="00EA7D9A" w:rsidRDefault="00CB35CD" w:rsidP="00CB35CD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B35CD" w:rsidRDefault="00CB35CD" w:rsidP="00CB35CD">
      <w:pPr>
        <w:spacing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CB35CD" w:rsidRPr="00973E52" w:rsidRDefault="00CB35CD" w:rsidP="00CB35CD">
      <w:pPr>
        <w:jc w:val="center"/>
        <w:rPr>
          <w:sz w:val="20"/>
        </w:rPr>
      </w:pPr>
    </w:p>
    <w:p w:rsidR="00CB35CD" w:rsidRDefault="00CB35CD" w:rsidP="00CB3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CD" w:rsidRDefault="00CB35CD" w:rsidP="00B63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E52" w:rsidRPr="00973E52" w:rsidRDefault="00973E52" w:rsidP="00973E52">
      <w:pPr>
        <w:jc w:val="center"/>
        <w:rPr>
          <w:sz w:val="20"/>
        </w:rPr>
      </w:pPr>
      <w:bookmarkStart w:id="0" w:name="_GoBack"/>
      <w:bookmarkEnd w:id="0"/>
    </w:p>
    <w:sectPr w:rsidR="00973E52" w:rsidRPr="009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2B39F9"/>
    <w:multiLevelType w:val="multilevel"/>
    <w:tmpl w:val="8C6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52"/>
    <w:rsid w:val="00166C37"/>
    <w:rsid w:val="003C6364"/>
    <w:rsid w:val="0042061D"/>
    <w:rsid w:val="004C20A3"/>
    <w:rsid w:val="005B0380"/>
    <w:rsid w:val="00973E52"/>
    <w:rsid w:val="00B63D3F"/>
    <w:rsid w:val="00B84C36"/>
    <w:rsid w:val="00BD2A45"/>
    <w:rsid w:val="00CB35CD"/>
    <w:rsid w:val="00E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52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973E52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973E5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973E52"/>
  </w:style>
  <w:style w:type="character" w:styleId="a6">
    <w:name w:val="Hyperlink"/>
    <w:basedOn w:val="a0"/>
    <w:uiPriority w:val="99"/>
    <w:unhideWhenUsed/>
    <w:rsid w:val="003C6364"/>
    <w:rPr>
      <w:color w:val="0000FF" w:themeColor="hyperlink"/>
      <w:u w:val="single"/>
    </w:rPr>
  </w:style>
  <w:style w:type="paragraph" w:customStyle="1" w:styleId="Default">
    <w:name w:val="Default"/>
    <w:rsid w:val="005B03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1"/>
    <w:uiPriority w:val="99"/>
    <w:semiHidden/>
    <w:rsid w:val="005B03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52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973E52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973E5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973E52"/>
  </w:style>
  <w:style w:type="character" w:styleId="a6">
    <w:name w:val="Hyperlink"/>
    <w:basedOn w:val="a0"/>
    <w:uiPriority w:val="99"/>
    <w:unhideWhenUsed/>
    <w:rsid w:val="003C6364"/>
    <w:rPr>
      <w:color w:val="0000FF" w:themeColor="hyperlink"/>
      <w:u w:val="single"/>
    </w:rPr>
  </w:style>
  <w:style w:type="paragraph" w:customStyle="1" w:styleId="Default">
    <w:name w:val="Default"/>
    <w:rsid w:val="005B03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1"/>
    <w:uiPriority w:val="99"/>
    <w:semiHidden/>
    <w:rsid w:val="005B03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structure/additional/12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files.gossluzhba.gov.ru/49309a89-3c66-408c-805a-2d42b28e89c9/download/6aa61296-4851-4d4d-9491-fd9f8429fb3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k.f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ssluzhba.gov.ru/anticorruption/spravki_bk" TargetMode="External"/><Relationship Id="rId14" Type="http://schemas.openxmlformats.org/officeDocument/2006/relationships/hyperlink" Target="https://www.nalog.ru/rn77/related_activities/accounting/bank_accou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2022-03-04T08:01:00Z</cp:lastPrinted>
  <dcterms:created xsi:type="dcterms:W3CDTF">2022-03-04T04:27:00Z</dcterms:created>
  <dcterms:modified xsi:type="dcterms:W3CDTF">2022-04-05T09:58:00Z</dcterms:modified>
</cp:coreProperties>
</file>